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2A280" w14:textId="77777777" w:rsidR="009E4059" w:rsidRPr="0066138B" w:rsidRDefault="009E4059" w:rsidP="009E4059">
      <w:pPr>
        <w:ind w:right="147"/>
        <w:jc w:val="center"/>
        <w:rPr>
          <w:b/>
          <w:bCs/>
          <w:iCs/>
          <w:spacing w:val="-2"/>
          <w:sz w:val="44"/>
          <w:szCs w:val="28"/>
          <w:u w:val="single"/>
        </w:rPr>
      </w:pPr>
      <w:r w:rsidRPr="00156772">
        <w:rPr>
          <w:b/>
          <w:bCs/>
          <w:iCs/>
          <w:spacing w:val="-2"/>
          <w:sz w:val="44"/>
          <w:szCs w:val="28"/>
          <w:u w:val="single"/>
        </w:rPr>
        <w:t xml:space="preserve">Перелік питань </w:t>
      </w:r>
    </w:p>
    <w:p w14:paraId="44A0CF15" w14:textId="2F637C88" w:rsidR="009E4059" w:rsidRDefault="009E4059" w:rsidP="009E4059">
      <w:pPr>
        <w:ind w:right="147"/>
        <w:jc w:val="center"/>
        <w:rPr>
          <w:b/>
          <w:bCs/>
          <w:iCs/>
          <w:spacing w:val="-2"/>
          <w:sz w:val="32"/>
          <w:szCs w:val="28"/>
          <w:u w:val="single"/>
        </w:rPr>
      </w:pPr>
      <w:r w:rsidRPr="008E3BC1">
        <w:rPr>
          <w:b/>
          <w:bCs/>
          <w:iCs/>
          <w:spacing w:val="-2"/>
          <w:sz w:val="32"/>
          <w:szCs w:val="28"/>
          <w:u w:val="single"/>
        </w:rPr>
        <w:t xml:space="preserve"> </w:t>
      </w:r>
      <w:r w:rsidRPr="0066138B">
        <w:rPr>
          <w:b/>
          <w:bCs/>
          <w:iCs/>
          <w:spacing w:val="-2"/>
          <w:sz w:val="32"/>
          <w:szCs w:val="28"/>
          <w:u w:val="single"/>
        </w:rPr>
        <w:t>для підсумкового оцінювання та контролю знань</w:t>
      </w:r>
      <w:r>
        <w:rPr>
          <w:b/>
          <w:bCs/>
          <w:iCs/>
          <w:spacing w:val="-2"/>
          <w:sz w:val="32"/>
          <w:szCs w:val="28"/>
          <w:u w:val="single"/>
        </w:rPr>
        <w:t xml:space="preserve"> (залік)</w:t>
      </w:r>
    </w:p>
    <w:p w14:paraId="68354203" w14:textId="248083C5" w:rsidR="009E4059" w:rsidRPr="0066138B" w:rsidRDefault="009E4059" w:rsidP="009E4059">
      <w:pPr>
        <w:ind w:right="147"/>
        <w:jc w:val="center"/>
        <w:rPr>
          <w:b/>
          <w:bCs/>
          <w:iCs/>
          <w:spacing w:val="-2"/>
          <w:sz w:val="32"/>
          <w:szCs w:val="28"/>
          <w:u w:val="single"/>
        </w:rPr>
      </w:pPr>
      <w:r>
        <w:rPr>
          <w:b/>
          <w:bCs/>
          <w:iCs/>
          <w:spacing w:val="-2"/>
          <w:sz w:val="32"/>
          <w:szCs w:val="28"/>
          <w:u w:val="single"/>
        </w:rPr>
        <w:t>(</w:t>
      </w:r>
      <w:r w:rsidRPr="00C937CD">
        <w:rPr>
          <w:i/>
          <w:spacing w:val="-2"/>
          <w:sz w:val="30"/>
          <w:szCs w:val="30"/>
          <w:u w:val="single"/>
        </w:rPr>
        <w:t>по 1 питанню з кожного розділу</w:t>
      </w:r>
      <w:r>
        <w:rPr>
          <w:b/>
          <w:bCs/>
          <w:iCs/>
          <w:spacing w:val="-2"/>
          <w:sz w:val="32"/>
          <w:szCs w:val="28"/>
          <w:u w:val="single"/>
        </w:rPr>
        <w:t>)</w:t>
      </w:r>
    </w:p>
    <w:p w14:paraId="4B0B2EF7" w14:textId="77777777" w:rsidR="009E4059" w:rsidRDefault="009E4059" w:rsidP="009E4059">
      <w:pPr>
        <w:jc w:val="center"/>
        <w:rPr>
          <w:b/>
          <w:bCs/>
          <w:iCs/>
          <w:spacing w:val="-2"/>
          <w:sz w:val="32"/>
          <w:szCs w:val="28"/>
          <w:u w:val="single"/>
        </w:rPr>
      </w:pPr>
      <w:r w:rsidRPr="0066138B">
        <w:rPr>
          <w:b/>
          <w:bCs/>
          <w:iCs/>
          <w:spacing w:val="-2"/>
          <w:sz w:val="32"/>
          <w:szCs w:val="28"/>
          <w:u w:val="single"/>
        </w:rPr>
        <w:t xml:space="preserve">з дисципліни </w:t>
      </w:r>
    </w:p>
    <w:p w14:paraId="78087675" w14:textId="4F780957" w:rsidR="00F205B9" w:rsidRPr="009E4059" w:rsidRDefault="00F205B9" w:rsidP="009E4059">
      <w:pPr>
        <w:jc w:val="center"/>
        <w:rPr>
          <w:rFonts w:eastAsia="Calibri"/>
          <w:b/>
          <w:iCs/>
          <w:sz w:val="44"/>
          <w:szCs w:val="32"/>
          <w:u w:val="single"/>
        </w:rPr>
      </w:pPr>
      <w:r w:rsidRPr="009E4059">
        <w:rPr>
          <w:rFonts w:eastAsia="Calibri"/>
          <w:b/>
          <w:iCs/>
          <w:sz w:val="44"/>
          <w:szCs w:val="32"/>
          <w:u w:val="single"/>
        </w:rPr>
        <w:t>Логістична інфраструктура держави</w:t>
      </w:r>
    </w:p>
    <w:p w14:paraId="6D993F90" w14:textId="77777777" w:rsidR="009E4059" w:rsidRPr="00C937CD" w:rsidRDefault="009E4059" w:rsidP="009E4059">
      <w:pPr>
        <w:pStyle w:val="a4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color w:val="FF0000"/>
          <w:sz w:val="28"/>
          <w:szCs w:val="28"/>
        </w:rPr>
      </w:pPr>
      <w:r w:rsidRPr="008E3BC1">
        <w:rPr>
          <w:color w:val="FF0000"/>
          <w:sz w:val="28"/>
          <w:szCs w:val="28"/>
        </w:rPr>
        <w:t>****************************************************************</w:t>
      </w:r>
      <w:r w:rsidRPr="00C937CD">
        <w:rPr>
          <w:b/>
          <w:bCs/>
          <w:iCs/>
          <w:spacing w:val="-2"/>
          <w:sz w:val="40"/>
          <w:szCs w:val="36"/>
          <w:u w:val="single"/>
        </w:rPr>
        <w:t xml:space="preserve">                   </w:t>
      </w:r>
    </w:p>
    <w:p w14:paraId="4687226D" w14:textId="77777777" w:rsidR="009E4059" w:rsidRPr="009E4059" w:rsidRDefault="009E4059" w:rsidP="009E4059">
      <w:pPr>
        <w:ind w:right="147"/>
        <w:jc w:val="center"/>
        <w:rPr>
          <w:b/>
          <w:bCs/>
          <w:iCs/>
          <w:spacing w:val="-2"/>
          <w:sz w:val="32"/>
          <w:szCs w:val="36"/>
          <w:u w:val="single"/>
        </w:rPr>
      </w:pPr>
      <w:r w:rsidRPr="009E4059">
        <w:rPr>
          <w:b/>
          <w:bCs/>
          <w:iCs/>
          <w:spacing w:val="-2"/>
          <w:sz w:val="32"/>
          <w:szCs w:val="36"/>
          <w:u w:val="single"/>
        </w:rPr>
        <w:t>Розділ  1</w:t>
      </w:r>
    </w:p>
    <w:p w14:paraId="4C7BD5BB" w14:textId="77777777" w:rsidR="00696F6C" w:rsidRPr="009E4059" w:rsidRDefault="00696F6C" w:rsidP="00F205B9">
      <w:pPr>
        <w:jc w:val="center"/>
        <w:rPr>
          <w:rFonts w:eastAsia="Calibri"/>
          <w:b/>
          <w:iCs/>
          <w:sz w:val="28"/>
          <w:szCs w:val="20"/>
          <w:u w:val="single"/>
        </w:rPr>
      </w:pPr>
    </w:p>
    <w:p w14:paraId="043AF493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bookmarkStart w:id="0" w:name="_Hlk174199505"/>
      <w:r w:rsidRPr="003A253A">
        <w:rPr>
          <w:iCs/>
          <w:sz w:val="28"/>
          <w:szCs w:val="28"/>
        </w:rPr>
        <w:t>Сутність поняття «інфраструктура» та зміст проблем, що вирішуються за допомогою логістики.</w:t>
      </w:r>
    </w:p>
    <w:p w14:paraId="64C56552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Визначення логістичної інфраструктури та її місця в системі ринкових взаємовідносин.</w:t>
      </w:r>
    </w:p>
    <w:p w14:paraId="03CCE44B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Зв'язок логістичної інфраструктури з економіко-правовою, фінансово-кредитною, </w:t>
      </w:r>
      <w:proofErr w:type="spellStart"/>
      <w:r w:rsidRPr="003A253A">
        <w:rPr>
          <w:iCs/>
          <w:sz w:val="28"/>
          <w:szCs w:val="28"/>
        </w:rPr>
        <w:t>торгівельно</w:t>
      </w:r>
      <w:proofErr w:type="spellEnd"/>
      <w:r w:rsidRPr="003A253A">
        <w:rPr>
          <w:iCs/>
          <w:sz w:val="28"/>
          <w:szCs w:val="28"/>
        </w:rPr>
        <w:t>-посередницькою, зовнішньо - економічною та інформаційною системами держави.</w:t>
      </w:r>
    </w:p>
    <w:p w14:paraId="665EBB21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Об’єкти логістичної інфраструктури та складнощі взаємодії між ними.</w:t>
      </w:r>
    </w:p>
    <w:p w14:paraId="5B3DCF6E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/>
          <w:sz w:val="28"/>
          <w:szCs w:val="28"/>
        </w:rPr>
      </w:pPr>
      <w:r w:rsidRPr="003A253A">
        <w:rPr>
          <w:iCs/>
          <w:sz w:val="28"/>
          <w:szCs w:val="28"/>
        </w:rPr>
        <w:t>Світові тенденції розвитку логістичної інфраструктури</w:t>
      </w:r>
      <w:r w:rsidRPr="003A253A">
        <w:rPr>
          <w:i/>
          <w:sz w:val="28"/>
          <w:szCs w:val="28"/>
        </w:rPr>
        <w:t xml:space="preserve">. </w:t>
      </w:r>
    </w:p>
    <w:p w14:paraId="0A0A8143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Сутність технічної складової  логістичної інфраструктури. Елементи технічної складової логістичної інфраструктури на рівні організацій (підприємств, установ, закладів) та територій (регіонів, держав та їх об’єднань).</w:t>
      </w:r>
    </w:p>
    <w:p w14:paraId="500DA980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Сутність організаційно - економічної складової  логістичної інфраструктури. Логістичні послуги та їх спектр. </w:t>
      </w:r>
    </w:p>
    <w:p w14:paraId="372C7C40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Логістичні центри, логістичні парки та логістичні мережі. Дистрибуційні розподільчі центри (мультимодальні термінали, хаби). </w:t>
      </w:r>
    </w:p>
    <w:p w14:paraId="40A77A8B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Логістичні оператори (1PL - 5PL).</w:t>
      </w:r>
    </w:p>
    <w:p w14:paraId="7414F16C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Сутність технологічної складової логістичної інфраструктури. </w:t>
      </w:r>
    </w:p>
    <w:p w14:paraId="627EAEA6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Контейнерне залізно дорожнє перевезення (COFC). </w:t>
      </w:r>
      <w:proofErr w:type="spellStart"/>
      <w:r w:rsidRPr="003A253A">
        <w:rPr>
          <w:iCs/>
          <w:sz w:val="28"/>
          <w:szCs w:val="28"/>
        </w:rPr>
        <w:t>Контррейлерне</w:t>
      </w:r>
      <w:proofErr w:type="spellEnd"/>
      <w:r w:rsidRPr="003A253A">
        <w:rPr>
          <w:iCs/>
          <w:sz w:val="28"/>
          <w:szCs w:val="28"/>
        </w:rPr>
        <w:t xml:space="preserve"> перевезення вантажів (TOFC). Роудрейлерне перевезення вантажів</w:t>
      </w:r>
    </w:p>
    <w:p w14:paraId="416BF4CD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lastRenderedPageBreak/>
        <w:t xml:space="preserve">Роль логістичної інфраструктури в обслуговуванні бізнесових, регіональних та глобальних товарних і пасажирських потоків. </w:t>
      </w:r>
    </w:p>
    <w:p w14:paraId="659B2E5E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Особливості логістичних інфраструктур організацій, регіонів, держав та їх об’єднань.</w:t>
      </w:r>
    </w:p>
    <w:p w14:paraId="0D4EBA72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Функціональний (економічний) підхід до визначення сутності та змісту логістичної інфраструктури. </w:t>
      </w:r>
    </w:p>
    <w:p w14:paraId="20536947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Територіальний (регіональний) підхід до визначення сутності та змісту логістичної інфраструктури. </w:t>
      </w:r>
    </w:p>
    <w:p w14:paraId="3AFA95AC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Галузевий підхід до визначення сутності та змісту логістичної інфраструктури.</w:t>
      </w:r>
    </w:p>
    <w:p w14:paraId="29F848FC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Інформаційні системи для відстеження руху потоків товарно-матеріальних цінностей та пасажирів. </w:t>
      </w:r>
    </w:p>
    <w:p w14:paraId="3514C5B0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Основні засоби збирання, зберігання та передачі інформації про місце знаходження вантажу. </w:t>
      </w:r>
    </w:p>
    <w:p w14:paraId="78F0B81E" w14:textId="64A5836C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Сучасні засоби телекомунікації та зв’язку. Роль глобальних електронних мереж в обслуговуванні вантажного і пасажирського потоків. </w:t>
      </w:r>
    </w:p>
    <w:p w14:paraId="6F4260FD" w14:textId="0A9E7DC3" w:rsidR="009E4059" w:rsidRPr="003A253A" w:rsidRDefault="009E4059" w:rsidP="009E4059">
      <w:pPr>
        <w:ind w:right="147"/>
        <w:jc w:val="center"/>
        <w:rPr>
          <w:b/>
          <w:bCs/>
          <w:iCs/>
          <w:spacing w:val="-2"/>
          <w:sz w:val="32"/>
          <w:szCs w:val="36"/>
          <w:u w:val="single"/>
        </w:rPr>
      </w:pPr>
      <w:r w:rsidRPr="003A253A">
        <w:rPr>
          <w:b/>
          <w:bCs/>
          <w:iCs/>
          <w:spacing w:val="-2"/>
          <w:sz w:val="32"/>
          <w:szCs w:val="36"/>
          <w:u w:val="single"/>
        </w:rPr>
        <w:t>Розділ  2</w:t>
      </w:r>
    </w:p>
    <w:p w14:paraId="608FB2A9" w14:textId="77777777" w:rsidR="009E4059" w:rsidRPr="003A253A" w:rsidRDefault="009E4059" w:rsidP="009E4059">
      <w:pPr>
        <w:jc w:val="center"/>
        <w:rPr>
          <w:rFonts w:eastAsia="Calibri"/>
          <w:b/>
          <w:iCs/>
          <w:sz w:val="28"/>
          <w:szCs w:val="20"/>
          <w:u w:val="single"/>
        </w:rPr>
      </w:pPr>
    </w:p>
    <w:p w14:paraId="45D4462B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Моніторинг вантажопотоків у режимі реального часу. </w:t>
      </w:r>
    </w:p>
    <w:p w14:paraId="121A86DF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Функції транспортування. Роль транспорту в економіці організації, регіону, країни. </w:t>
      </w:r>
    </w:p>
    <w:p w14:paraId="1EB4DB2D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Класифікація видів транспорту та їх роль в обслуговуванні товарних та пасажирських потоків. </w:t>
      </w:r>
    </w:p>
    <w:p w14:paraId="1B490FBD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Транспортно-логістичні системи на </w:t>
      </w:r>
      <w:proofErr w:type="spellStart"/>
      <w:r w:rsidRPr="003A253A">
        <w:rPr>
          <w:iCs/>
          <w:sz w:val="28"/>
          <w:szCs w:val="28"/>
        </w:rPr>
        <w:t>макро</w:t>
      </w:r>
      <w:proofErr w:type="spellEnd"/>
      <w:r w:rsidRPr="003A253A">
        <w:rPr>
          <w:iCs/>
          <w:sz w:val="28"/>
          <w:szCs w:val="28"/>
        </w:rPr>
        <w:t xml:space="preserve">- та мікро-рівнях. </w:t>
      </w:r>
    </w:p>
    <w:p w14:paraId="5CED7696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Світові тенденції розвитку транспортних систем.</w:t>
      </w:r>
    </w:p>
    <w:p w14:paraId="097A7013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Функціональні особливості об’єктів складської інфраструктури на мікро-, та макрорівні; їх роль та місце у логістичній інфраструктурі. </w:t>
      </w:r>
    </w:p>
    <w:p w14:paraId="392A4A64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Інфраструктурні об’єкти складу. </w:t>
      </w:r>
    </w:p>
    <w:p w14:paraId="2674AEBA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Складське обладнання: види, призначення. </w:t>
      </w:r>
    </w:p>
    <w:p w14:paraId="655FEB96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Характеристика та показники ефективності використання маніпуляційної інфраструктури - підйомно-транспортних засобів, підйомних механізмів, транспортерів, конвеєрів, ліфтів, навантажувачів, тощо.</w:t>
      </w:r>
    </w:p>
    <w:p w14:paraId="7637F2E3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Сутність тари та упаковки: класифікація, функції, логістичний зміст.</w:t>
      </w:r>
    </w:p>
    <w:p w14:paraId="5B6DF64F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Життєвий цикл  тари. Засоби ідентифікації товарів.</w:t>
      </w:r>
    </w:p>
    <w:p w14:paraId="248F1AAE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Сутність маркування. Зміст та засоби пломбування тари.</w:t>
      </w:r>
    </w:p>
    <w:p w14:paraId="7B67DB82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Характеристика матеріально-технічної бази залізничного транспорту. </w:t>
      </w:r>
    </w:p>
    <w:p w14:paraId="5A5D1524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Мережа залізничних колій та  пропускна спроможності залізниці. </w:t>
      </w:r>
    </w:p>
    <w:p w14:paraId="4000FD4A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Залізничні станції, вокзали, сервісні центри: їх характеристика, пропускна здатність та ефективність використання. </w:t>
      </w:r>
    </w:p>
    <w:p w14:paraId="0101D95A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Рухомий склад залізничного транспорту, його характеристики </w:t>
      </w:r>
    </w:p>
    <w:p w14:paraId="3EFC0087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Показники ефективності використання залізничних вагонів.</w:t>
      </w:r>
    </w:p>
    <w:p w14:paraId="5C4C7EAA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Характеристика матеріально-технічної бази автомобільного транспорту. </w:t>
      </w:r>
    </w:p>
    <w:p w14:paraId="7DA41519" w14:textId="55089A7B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Мережа автомобільних шляхів та їх пропускна спроможність.</w:t>
      </w:r>
    </w:p>
    <w:p w14:paraId="461B4949" w14:textId="1FD73EE0" w:rsidR="009E4059" w:rsidRPr="003A253A" w:rsidRDefault="009E4059" w:rsidP="009E4059">
      <w:pPr>
        <w:pStyle w:val="a3"/>
        <w:suppressAutoHyphens w:val="0"/>
        <w:spacing w:line="360" w:lineRule="auto"/>
        <w:ind w:left="567"/>
        <w:jc w:val="both"/>
        <w:rPr>
          <w:iCs/>
          <w:sz w:val="28"/>
          <w:szCs w:val="28"/>
        </w:rPr>
      </w:pPr>
    </w:p>
    <w:p w14:paraId="6A8FD1C2" w14:textId="27167DDA" w:rsidR="009E4059" w:rsidRPr="003A253A" w:rsidRDefault="009E4059" w:rsidP="009E4059">
      <w:pPr>
        <w:ind w:right="147"/>
        <w:jc w:val="center"/>
        <w:rPr>
          <w:b/>
          <w:bCs/>
          <w:iCs/>
          <w:spacing w:val="-2"/>
          <w:sz w:val="32"/>
          <w:szCs w:val="36"/>
          <w:u w:val="single"/>
        </w:rPr>
      </w:pPr>
      <w:r w:rsidRPr="003A253A">
        <w:rPr>
          <w:b/>
          <w:bCs/>
          <w:iCs/>
          <w:spacing w:val="-2"/>
          <w:sz w:val="32"/>
          <w:szCs w:val="36"/>
          <w:u w:val="single"/>
        </w:rPr>
        <w:t>Розділ  3</w:t>
      </w:r>
    </w:p>
    <w:p w14:paraId="2A6EFC02" w14:textId="77777777" w:rsidR="009E4059" w:rsidRPr="003A253A" w:rsidRDefault="009E4059" w:rsidP="009E4059">
      <w:pPr>
        <w:jc w:val="center"/>
        <w:rPr>
          <w:rFonts w:eastAsia="Calibri"/>
          <w:b/>
          <w:iCs/>
          <w:sz w:val="28"/>
          <w:szCs w:val="20"/>
          <w:u w:val="single"/>
        </w:rPr>
      </w:pPr>
    </w:p>
    <w:p w14:paraId="1ACA5C04" w14:textId="03C5D4D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Автотранспортні термінали, їх характеристика та ефективність використання. Автотранспортні засоби, їх класифікація та показники ефективності використання.</w:t>
      </w:r>
    </w:p>
    <w:p w14:paraId="7D9F3729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Характеристика матеріально-технічної бази водного транспорту. </w:t>
      </w:r>
    </w:p>
    <w:p w14:paraId="60141D3F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Морські та річкові порти (вокзали), паромна транспортно-технологічна система: їх характеристика та ефективність використання.</w:t>
      </w:r>
    </w:p>
    <w:p w14:paraId="7EB2F5BD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Показники ефективності використання водних транспортних засобів.</w:t>
      </w:r>
    </w:p>
    <w:p w14:paraId="0132E647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Характеристика матеріально-технічної бази повітряного транспорту. </w:t>
      </w:r>
    </w:p>
    <w:p w14:paraId="18B8EA4B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Повітряні шляхи, їх пропускна спроможність. </w:t>
      </w:r>
    </w:p>
    <w:p w14:paraId="0900F114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Авіаційні термінали, їх характеристика та ефективність використання. </w:t>
      </w:r>
    </w:p>
    <w:p w14:paraId="042D433B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Повітряні транспортні засоби, їх характеристики та показники ефективності використання.</w:t>
      </w:r>
    </w:p>
    <w:p w14:paraId="51F71AF8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Характеристика матеріально-технічної бази трубопровідного транспорту. </w:t>
      </w:r>
    </w:p>
    <w:p w14:paraId="0FD27BB5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Мережа трубопровідних шляхів, їх пропускна спроможність. </w:t>
      </w:r>
    </w:p>
    <w:p w14:paraId="18E0798A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Показники ефективності використання трубопроводу.</w:t>
      </w:r>
    </w:p>
    <w:p w14:paraId="775D60E1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Фінансова інфраструктура та її зв'язок із логістичною інфраструктурою. </w:t>
      </w:r>
    </w:p>
    <w:p w14:paraId="545A874E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Фінансове обслуговування вантажопотоків та пасажиропотоків. </w:t>
      </w:r>
    </w:p>
    <w:p w14:paraId="3005A702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Об'єкти фінансової інфраструктури та їх розміщення у транспортних терміналах і логістичних центрах. </w:t>
      </w:r>
    </w:p>
    <w:p w14:paraId="63E4D23D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Інтеграція матеріальних, інформаційних та фінансових потоків у логістичних центрах. </w:t>
      </w:r>
    </w:p>
    <w:p w14:paraId="43DDDDBD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Пункти перетину кордону та їх характеристика. Транскордонні території. </w:t>
      </w:r>
    </w:p>
    <w:p w14:paraId="31906D42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Розвиток логістичної інфраструктури транскордонних територій. </w:t>
      </w:r>
    </w:p>
    <w:p w14:paraId="0CBC4F67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 xml:space="preserve">Митні пости. Митні термінали. Митно-ліцензійні склади. </w:t>
      </w:r>
    </w:p>
    <w:p w14:paraId="2F3ECE67" w14:textId="77777777" w:rsidR="00F205B9" w:rsidRPr="003A253A" w:rsidRDefault="00F205B9" w:rsidP="00F205B9">
      <w:pPr>
        <w:pStyle w:val="a3"/>
        <w:numPr>
          <w:ilvl w:val="0"/>
          <w:numId w:val="33"/>
        </w:numPr>
        <w:suppressAutoHyphens w:val="0"/>
        <w:spacing w:line="360" w:lineRule="auto"/>
        <w:ind w:left="567" w:hanging="567"/>
        <w:jc w:val="both"/>
        <w:rPr>
          <w:iCs/>
          <w:sz w:val="28"/>
          <w:szCs w:val="28"/>
        </w:rPr>
      </w:pPr>
      <w:r w:rsidRPr="003A253A">
        <w:rPr>
          <w:iCs/>
          <w:sz w:val="28"/>
          <w:szCs w:val="28"/>
        </w:rPr>
        <w:t>Вимоги до розташування та обладнання митно-ліцензійних складів.</w:t>
      </w:r>
    </w:p>
    <w:bookmarkEnd w:id="0"/>
    <w:p w14:paraId="178110CC" w14:textId="77777777" w:rsidR="00F205B9" w:rsidRPr="00F205B9" w:rsidRDefault="00F205B9" w:rsidP="00F205B9">
      <w:pPr>
        <w:spacing w:line="360" w:lineRule="auto"/>
        <w:ind w:left="567" w:hanging="567"/>
        <w:jc w:val="both"/>
        <w:rPr>
          <w:iCs/>
          <w:sz w:val="28"/>
          <w:szCs w:val="28"/>
        </w:rPr>
      </w:pPr>
    </w:p>
    <w:p w14:paraId="31CB4771" w14:textId="77777777" w:rsidR="00F205B9" w:rsidRPr="00F205B9" w:rsidRDefault="00F205B9" w:rsidP="00F205B9">
      <w:pPr>
        <w:spacing w:line="360" w:lineRule="auto"/>
        <w:ind w:left="567" w:hanging="567"/>
        <w:jc w:val="both"/>
        <w:rPr>
          <w:b/>
          <w:bCs/>
          <w:i/>
          <w:iCs/>
          <w:sz w:val="28"/>
          <w:szCs w:val="28"/>
          <w:u w:val="single"/>
        </w:rPr>
      </w:pPr>
    </w:p>
    <w:sectPr w:rsidR="00F205B9" w:rsidRPr="00F2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815"/>
    <w:multiLevelType w:val="hybridMultilevel"/>
    <w:tmpl w:val="7C1A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1D8F"/>
    <w:multiLevelType w:val="hybridMultilevel"/>
    <w:tmpl w:val="853824BE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7629E"/>
    <w:multiLevelType w:val="hybridMultilevel"/>
    <w:tmpl w:val="28CC8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7E4F"/>
    <w:multiLevelType w:val="hybridMultilevel"/>
    <w:tmpl w:val="BD3A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6747"/>
    <w:multiLevelType w:val="hybridMultilevel"/>
    <w:tmpl w:val="47642322"/>
    <w:lvl w:ilvl="0" w:tplc="BA3039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58263B"/>
    <w:multiLevelType w:val="hybridMultilevel"/>
    <w:tmpl w:val="AEF47BD8"/>
    <w:lvl w:ilvl="0" w:tplc="802A5A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23E97"/>
    <w:multiLevelType w:val="hybridMultilevel"/>
    <w:tmpl w:val="E354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D5F57"/>
    <w:multiLevelType w:val="hybridMultilevel"/>
    <w:tmpl w:val="C58C0010"/>
    <w:lvl w:ilvl="0" w:tplc="BEAA2D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34203"/>
    <w:multiLevelType w:val="hybridMultilevel"/>
    <w:tmpl w:val="79F87C22"/>
    <w:lvl w:ilvl="0" w:tplc="BA3039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876E85"/>
    <w:multiLevelType w:val="hybridMultilevel"/>
    <w:tmpl w:val="5D0E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5532D"/>
    <w:multiLevelType w:val="hybridMultilevel"/>
    <w:tmpl w:val="5E648336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75E63"/>
    <w:multiLevelType w:val="hybridMultilevel"/>
    <w:tmpl w:val="8FECDA8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D6AC3"/>
    <w:multiLevelType w:val="hybridMultilevel"/>
    <w:tmpl w:val="2960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013CD"/>
    <w:multiLevelType w:val="hybridMultilevel"/>
    <w:tmpl w:val="B9A0C776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F71D5"/>
    <w:multiLevelType w:val="hybridMultilevel"/>
    <w:tmpl w:val="787CB1FE"/>
    <w:lvl w:ilvl="0" w:tplc="BA3039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EA19F1"/>
    <w:multiLevelType w:val="hybridMultilevel"/>
    <w:tmpl w:val="CD20BB7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E05BD"/>
    <w:multiLevelType w:val="hybridMultilevel"/>
    <w:tmpl w:val="9C08446C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38BA"/>
    <w:multiLevelType w:val="hybridMultilevel"/>
    <w:tmpl w:val="D6D68A34"/>
    <w:lvl w:ilvl="0" w:tplc="FAEE0D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00934B9"/>
    <w:multiLevelType w:val="hybridMultilevel"/>
    <w:tmpl w:val="A25C0DF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C0BE9"/>
    <w:multiLevelType w:val="hybridMultilevel"/>
    <w:tmpl w:val="291C70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1A722C"/>
    <w:multiLevelType w:val="hybridMultilevel"/>
    <w:tmpl w:val="850C96EA"/>
    <w:lvl w:ilvl="0" w:tplc="BA3039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54711AB"/>
    <w:multiLevelType w:val="hybridMultilevel"/>
    <w:tmpl w:val="132AA41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5C636F2"/>
    <w:multiLevelType w:val="hybridMultilevel"/>
    <w:tmpl w:val="42B43F24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96C60"/>
    <w:multiLevelType w:val="hybridMultilevel"/>
    <w:tmpl w:val="BD6EAB9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A5A67"/>
    <w:multiLevelType w:val="hybridMultilevel"/>
    <w:tmpl w:val="F17603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4F465B"/>
    <w:multiLevelType w:val="hybridMultilevel"/>
    <w:tmpl w:val="F74A732E"/>
    <w:lvl w:ilvl="0" w:tplc="1292BBF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3166C"/>
    <w:multiLevelType w:val="hybridMultilevel"/>
    <w:tmpl w:val="E570918A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A5665"/>
    <w:multiLevelType w:val="hybridMultilevel"/>
    <w:tmpl w:val="33FE2528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720E"/>
    <w:multiLevelType w:val="hybridMultilevel"/>
    <w:tmpl w:val="9754EA84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474D1"/>
    <w:multiLevelType w:val="hybridMultilevel"/>
    <w:tmpl w:val="A88EDF2C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E6434"/>
    <w:multiLevelType w:val="hybridMultilevel"/>
    <w:tmpl w:val="F5F0B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A7CB6"/>
    <w:multiLevelType w:val="hybridMultilevel"/>
    <w:tmpl w:val="5086A35E"/>
    <w:lvl w:ilvl="0" w:tplc="04D26A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20EFB"/>
    <w:multiLevelType w:val="hybridMultilevel"/>
    <w:tmpl w:val="C3A4DC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6"/>
  </w:num>
  <w:num w:numId="3">
    <w:abstractNumId w:val="25"/>
  </w:num>
  <w:num w:numId="4">
    <w:abstractNumId w:val="7"/>
  </w:num>
  <w:num w:numId="5">
    <w:abstractNumId w:val="0"/>
  </w:num>
  <w:num w:numId="6">
    <w:abstractNumId w:val="21"/>
  </w:num>
  <w:num w:numId="7">
    <w:abstractNumId w:val="30"/>
  </w:num>
  <w:num w:numId="8">
    <w:abstractNumId w:val="32"/>
  </w:num>
  <w:num w:numId="9">
    <w:abstractNumId w:val="12"/>
  </w:num>
  <w:num w:numId="10">
    <w:abstractNumId w:val="2"/>
  </w:num>
  <w:num w:numId="11">
    <w:abstractNumId w:val="24"/>
  </w:num>
  <w:num w:numId="12">
    <w:abstractNumId w:val="19"/>
  </w:num>
  <w:num w:numId="13">
    <w:abstractNumId w:val="17"/>
  </w:num>
  <w:num w:numId="14">
    <w:abstractNumId w:val="4"/>
  </w:num>
  <w:num w:numId="15">
    <w:abstractNumId w:val="8"/>
  </w:num>
  <w:num w:numId="16">
    <w:abstractNumId w:val="20"/>
  </w:num>
  <w:num w:numId="17">
    <w:abstractNumId w:val="14"/>
  </w:num>
  <w:num w:numId="18">
    <w:abstractNumId w:val="1"/>
  </w:num>
  <w:num w:numId="19">
    <w:abstractNumId w:val="31"/>
  </w:num>
  <w:num w:numId="20">
    <w:abstractNumId w:val="22"/>
  </w:num>
  <w:num w:numId="21">
    <w:abstractNumId w:val="23"/>
  </w:num>
  <w:num w:numId="22">
    <w:abstractNumId w:val="26"/>
  </w:num>
  <w:num w:numId="23">
    <w:abstractNumId w:val="28"/>
  </w:num>
  <w:num w:numId="24">
    <w:abstractNumId w:val="13"/>
  </w:num>
  <w:num w:numId="25">
    <w:abstractNumId w:val="15"/>
  </w:num>
  <w:num w:numId="26">
    <w:abstractNumId w:val="16"/>
  </w:num>
  <w:num w:numId="27">
    <w:abstractNumId w:val="10"/>
  </w:num>
  <w:num w:numId="28">
    <w:abstractNumId w:val="29"/>
  </w:num>
  <w:num w:numId="29">
    <w:abstractNumId w:val="27"/>
  </w:num>
  <w:num w:numId="30">
    <w:abstractNumId w:val="18"/>
  </w:num>
  <w:num w:numId="31">
    <w:abstractNumId w:val="11"/>
  </w:num>
  <w:num w:numId="32">
    <w:abstractNumId w:val="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AC5"/>
    <w:rsid w:val="00102918"/>
    <w:rsid w:val="003A253A"/>
    <w:rsid w:val="00455C17"/>
    <w:rsid w:val="00477FCD"/>
    <w:rsid w:val="00696F6C"/>
    <w:rsid w:val="0080324B"/>
    <w:rsid w:val="00840416"/>
    <w:rsid w:val="009E4059"/>
    <w:rsid w:val="00B237E0"/>
    <w:rsid w:val="00B37902"/>
    <w:rsid w:val="00D66AC5"/>
    <w:rsid w:val="00F2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F6CE"/>
  <w15:docId w15:val="{E0CBFEBA-63CE-4888-B41E-FEA5C800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C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C17"/>
    <w:pPr>
      <w:ind w:left="720"/>
      <w:contextualSpacing/>
    </w:pPr>
  </w:style>
  <w:style w:type="paragraph" w:styleId="a4">
    <w:name w:val="header"/>
    <w:basedOn w:val="a"/>
    <w:link w:val="a5"/>
    <w:uiPriority w:val="99"/>
    <w:rsid w:val="009E40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059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8</cp:revision>
  <dcterms:created xsi:type="dcterms:W3CDTF">2022-09-08T17:17:00Z</dcterms:created>
  <dcterms:modified xsi:type="dcterms:W3CDTF">2024-08-10T13:30:00Z</dcterms:modified>
</cp:coreProperties>
</file>