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AEC20" w14:textId="77777777" w:rsidR="00FD10EF" w:rsidRDefault="00FD10EF" w:rsidP="002C4E4E">
      <w:pPr>
        <w:jc w:val="center"/>
        <w:rPr>
          <w:b/>
          <w:sz w:val="36"/>
          <w:u w:val="single"/>
        </w:rPr>
      </w:pPr>
    </w:p>
    <w:p w14:paraId="4A917BD7" w14:textId="77777777" w:rsidR="00FD10EF" w:rsidRPr="0066138B" w:rsidRDefault="00FD10EF" w:rsidP="00FD10EF">
      <w:pPr>
        <w:ind w:right="147"/>
        <w:jc w:val="center"/>
        <w:rPr>
          <w:b/>
          <w:bCs/>
          <w:iCs/>
          <w:spacing w:val="-2"/>
          <w:sz w:val="44"/>
          <w:szCs w:val="28"/>
          <w:u w:val="single"/>
        </w:rPr>
      </w:pPr>
      <w:bookmarkStart w:id="0" w:name="_Hlk117508271"/>
      <w:r w:rsidRPr="00156772">
        <w:rPr>
          <w:b/>
          <w:bCs/>
          <w:iCs/>
          <w:spacing w:val="-2"/>
          <w:sz w:val="44"/>
          <w:szCs w:val="28"/>
          <w:u w:val="single"/>
        </w:rPr>
        <w:t xml:space="preserve">Перелік питань </w:t>
      </w:r>
    </w:p>
    <w:p w14:paraId="4A48B674" w14:textId="2A246934" w:rsidR="00FD10EF" w:rsidRDefault="00FD10EF" w:rsidP="00FD10EF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</w:rPr>
      </w:pPr>
      <w:r w:rsidRPr="008E3BC1">
        <w:rPr>
          <w:b/>
          <w:bCs/>
          <w:iCs/>
          <w:spacing w:val="-2"/>
          <w:sz w:val="32"/>
          <w:szCs w:val="28"/>
          <w:u w:val="single"/>
        </w:rPr>
        <w:t xml:space="preserve"> </w:t>
      </w:r>
      <w:r w:rsidRPr="0066138B">
        <w:rPr>
          <w:b/>
          <w:bCs/>
          <w:iCs/>
          <w:spacing w:val="-2"/>
          <w:sz w:val="32"/>
          <w:szCs w:val="28"/>
          <w:u w:val="single"/>
        </w:rPr>
        <w:t>для підсумкового оцінювання та контролю знань</w:t>
      </w:r>
      <w:r>
        <w:rPr>
          <w:b/>
          <w:bCs/>
          <w:iCs/>
          <w:spacing w:val="-2"/>
          <w:sz w:val="32"/>
          <w:szCs w:val="28"/>
          <w:u w:val="single"/>
        </w:rPr>
        <w:t xml:space="preserve"> (заліку)</w:t>
      </w:r>
    </w:p>
    <w:p w14:paraId="628C67B1" w14:textId="6BE66848" w:rsidR="00FD10EF" w:rsidRPr="0066138B" w:rsidRDefault="00FD10EF" w:rsidP="00FD10EF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</w:rPr>
      </w:pPr>
      <w:r>
        <w:rPr>
          <w:b/>
          <w:bCs/>
          <w:iCs/>
          <w:spacing w:val="-2"/>
          <w:sz w:val="32"/>
          <w:szCs w:val="28"/>
          <w:u w:val="single"/>
        </w:rPr>
        <w:t>(</w:t>
      </w:r>
      <w:r w:rsidRPr="00C937CD">
        <w:rPr>
          <w:i/>
          <w:spacing w:val="-2"/>
          <w:sz w:val="30"/>
          <w:szCs w:val="30"/>
          <w:u w:val="single"/>
        </w:rPr>
        <w:t>по 1 питанню з кожного розділу</w:t>
      </w:r>
      <w:r>
        <w:rPr>
          <w:b/>
          <w:bCs/>
          <w:iCs/>
          <w:spacing w:val="-2"/>
          <w:sz w:val="32"/>
          <w:szCs w:val="28"/>
          <w:u w:val="single"/>
        </w:rPr>
        <w:t>)</w:t>
      </w:r>
    </w:p>
    <w:p w14:paraId="3F72CC30" w14:textId="77777777" w:rsidR="00FD10EF" w:rsidRPr="0066138B" w:rsidRDefault="00FD10EF" w:rsidP="00FD10EF">
      <w:pPr>
        <w:jc w:val="center"/>
        <w:rPr>
          <w:b/>
          <w:bCs/>
          <w:iCs/>
          <w:spacing w:val="-2"/>
          <w:sz w:val="32"/>
          <w:szCs w:val="28"/>
          <w:u w:val="single"/>
        </w:rPr>
      </w:pPr>
      <w:r w:rsidRPr="0066138B">
        <w:rPr>
          <w:b/>
          <w:bCs/>
          <w:iCs/>
          <w:spacing w:val="-2"/>
          <w:sz w:val="32"/>
          <w:szCs w:val="28"/>
          <w:u w:val="single"/>
        </w:rPr>
        <w:t xml:space="preserve">з дисципліни </w:t>
      </w:r>
    </w:p>
    <w:bookmarkEnd w:id="0"/>
    <w:p w14:paraId="17ECA0ED" w14:textId="77777777" w:rsidR="00FD10EF" w:rsidRPr="00FD10EF" w:rsidRDefault="00FD10EF" w:rsidP="00FD10EF">
      <w:pPr>
        <w:jc w:val="center"/>
        <w:rPr>
          <w:b/>
          <w:sz w:val="44"/>
          <w:szCs w:val="32"/>
          <w:u w:val="single"/>
        </w:rPr>
      </w:pPr>
      <w:r w:rsidRPr="00FD10EF">
        <w:rPr>
          <w:b/>
          <w:sz w:val="44"/>
          <w:szCs w:val="32"/>
          <w:u w:val="single"/>
        </w:rPr>
        <w:t>Трудове право та соціально-трудові відносини</w:t>
      </w:r>
    </w:p>
    <w:p w14:paraId="32A56A9C" w14:textId="77777777" w:rsidR="00FD10EF" w:rsidRPr="00C937CD" w:rsidRDefault="00FD10EF" w:rsidP="00FD10EF">
      <w:pPr>
        <w:pStyle w:val="a4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color w:val="FF0000"/>
          <w:sz w:val="28"/>
          <w:szCs w:val="28"/>
        </w:rPr>
      </w:pPr>
      <w:r w:rsidRPr="008E3BC1">
        <w:rPr>
          <w:color w:val="FF0000"/>
          <w:sz w:val="28"/>
          <w:szCs w:val="28"/>
        </w:rPr>
        <w:t>****************************************************************</w:t>
      </w:r>
      <w:r w:rsidRPr="00C937CD">
        <w:rPr>
          <w:b/>
          <w:bCs/>
          <w:iCs/>
          <w:spacing w:val="-2"/>
          <w:sz w:val="40"/>
          <w:szCs w:val="36"/>
          <w:u w:val="single"/>
        </w:rPr>
        <w:t xml:space="preserve">                   </w:t>
      </w:r>
    </w:p>
    <w:p w14:paraId="50136A41" w14:textId="77777777" w:rsidR="00FD10EF" w:rsidRPr="00FD10EF" w:rsidRDefault="00FD10EF" w:rsidP="00FD10EF">
      <w:pPr>
        <w:spacing w:before="120" w:after="120"/>
        <w:ind w:right="147"/>
        <w:jc w:val="center"/>
        <w:rPr>
          <w:b/>
          <w:bCs/>
          <w:iCs/>
          <w:spacing w:val="-2"/>
          <w:sz w:val="36"/>
          <w:szCs w:val="40"/>
          <w:u w:val="single"/>
        </w:rPr>
      </w:pPr>
      <w:r w:rsidRPr="00FD10EF">
        <w:rPr>
          <w:b/>
          <w:bCs/>
          <w:iCs/>
          <w:spacing w:val="-2"/>
          <w:sz w:val="36"/>
          <w:szCs w:val="40"/>
          <w:u w:val="single"/>
        </w:rPr>
        <w:t>Розділ  1</w:t>
      </w:r>
    </w:p>
    <w:p w14:paraId="07792703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bookmarkStart w:id="1" w:name="_Hlk119166379"/>
      <w:r w:rsidRPr="00B01B97">
        <w:rPr>
          <w:rStyle w:val="markedcontent"/>
          <w:sz w:val="28"/>
          <w:szCs w:val="28"/>
        </w:rPr>
        <w:t>Право людини на працю, його зміст, значення та місце у системі прав людини.</w:t>
      </w:r>
    </w:p>
    <w:p w14:paraId="4DDA4E0B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Поняття трудового права, його предмет та функції.</w:t>
      </w:r>
    </w:p>
    <w:p w14:paraId="4AF0DF6D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 xml:space="preserve">Сфера дії норм трудового права. </w:t>
      </w:r>
    </w:p>
    <w:p w14:paraId="15B833DD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 xml:space="preserve">Трудове право як складова частина системи права України. </w:t>
      </w:r>
    </w:p>
    <w:p w14:paraId="56AA61E7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 xml:space="preserve">Система соціально-трудових відносин: сутність, типи та фактори розвитку </w:t>
      </w:r>
    </w:p>
    <w:p w14:paraId="617AB2BB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Наймані працівники як суб’єкти трудових правовідносин, їх основні права та обов’язки.</w:t>
      </w:r>
    </w:p>
    <w:p w14:paraId="3B27ABA4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Роботодавці як суб’єкти трудових правовідносин, їх основні права та обов’язки роботодавця</w:t>
      </w:r>
    </w:p>
    <w:p w14:paraId="7BF08825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Характеристика органів, що репрезентують суб’єктів сторін соціально-трудових відносин на різних рівнях цих відносин</w:t>
      </w:r>
    </w:p>
    <w:p w14:paraId="55A3DDEA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Поняття зайнятості та категорії зайнятого населення.</w:t>
      </w:r>
    </w:p>
    <w:p w14:paraId="0A853832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 xml:space="preserve">Соціальний захист безробітних. </w:t>
      </w:r>
    </w:p>
    <w:p w14:paraId="33C99601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B01B97">
        <w:rPr>
          <w:rStyle w:val="markedcontent"/>
          <w:sz w:val="28"/>
          <w:szCs w:val="28"/>
        </w:rPr>
        <w:t>Основні напрями проведення державної політики зайнятості в Україні. Обов'язки і повноваження державної служби зайнятості.</w:t>
      </w:r>
    </w:p>
    <w:p w14:paraId="578C74E9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rFonts w:eastAsiaTheme="minorHAnsi"/>
          <w:sz w:val="28"/>
          <w:szCs w:val="28"/>
        </w:rPr>
      </w:pPr>
      <w:r w:rsidRPr="00B01B97">
        <w:rPr>
          <w:rStyle w:val="markedcontent"/>
          <w:sz w:val="28"/>
          <w:szCs w:val="28"/>
        </w:rPr>
        <w:t xml:space="preserve">Особливості працевлаштування окремих категорій громадян (осіб з обмеженими можливостями, молодь, осіб похилого віку, тощо) </w:t>
      </w:r>
    </w:p>
    <w:p w14:paraId="426DF299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t>Трудовий договір : поняття, види та значення.</w:t>
      </w:r>
    </w:p>
    <w:p w14:paraId="0F00BD43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t>Цивільний договір на виконання трудових функцій : сутність та особливості застосування</w:t>
      </w:r>
    </w:p>
    <w:p w14:paraId="2A697979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lastRenderedPageBreak/>
        <w:t xml:space="preserve">Сторони договорів  на виконання трудових функцій та їх істотні умови. </w:t>
      </w:r>
    </w:p>
    <w:p w14:paraId="2B65F166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t xml:space="preserve">Прийняття на роботу і оформлення трудового договору. </w:t>
      </w:r>
    </w:p>
    <w:p w14:paraId="00EA92C0" w14:textId="77777777" w:rsidR="002C4E4E" w:rsidRPr="00B01B97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t>Поняття переведення на іншу роботу, переміщення на інше робоче місце.</w:t>
      </w:r>
    </w:p>
    <w:p w14:paraId="420C882C" w14:textId="58ED60A5" w:rsidR="002C4E4E" w:rsidRDefault="002C4E4E" w:rsidP="002C4E4E">
      <w:pPr>
        <w:pStyle w:val="a3"/>
        <w:numPr>
          <w:ilvl w:val="0"/>
          <w:numId w:val="18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B01B97">
        <w:rPr>
          <w:sz w:val="28"/>
          <w:szCs w:val="28"/>
          <w:lang w:eastAsia="ru-RU"/>
        </w:rPr>
        <w:t xml:space="preserve">Відсторонення працівника від роботи. </w:t>
      </w:r>
    </w:p>
    <w:p w14:paraId="7FA3B5B2" w14:textId="78DCCB54" w:rsidR="00FD10EF" w:rsidRPr="00FD10EF" w:rsidRDefault="00FD10EF" w:rsidP="00FD10EF">
      <w:pPr>
        <w:spacing w:before="120" w:after="120"/>
        <w:ind w:right="147"/>
        <w:jc w:val="center"/>
        <w:rPr>
          <w:b/>
          <w:bCs/>
          <w:iCs/>
          <w:spacing w:val="-2"/>
          <w:sz w:val="36"/>
          <w:szCs w:val="40"/>
          <w:u w:val="single"/>
        </w:rPr>
      </w:pPr>
      <w:r w:rsidRPr="00FD10EF">
        <w:rPr>
          <w:b/>
          <w:bCs/>
          <w:iCs/>
          <w:spacing w:val="-2"/>
          <w:sz w:val="36"/>
          <w:szCs w:val="40"/>
          <w:u w:val="single"/>
        </w:rPr>
        <w:t xml:space="preserve">Розділ  </w:t>
      </w:r>
      <w:r>
        <w:rPr>
          <w:b/>
          <w:bCs/>
          <w:iCs/>
          <w:spacing w:val="-2"/>
          <w:sz w:val="36"/>
          <w:szCs w:val="40"/>
          <w:u w:val="single"/>
        </w:rPr>
        <w:t>2</w:t>
      </w:r>
    </w:p>
    <w:p w14:paraId="75D0D134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>Підстави припинення трудових правовідносин, їх класифікація.</w:t>
      </w:r>
    </w:p>
    <w:p w14:paraId="66F6BFA9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>Порядок припинення трудових правовідносин з ініціативи працівника</w:t>
      </w:r>
    </w:p>
    <w:p w14:paraId="23239555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 xml:space="preserve">Порядок припинення трудових правовідносин за взаємною згодою сторін. </w:t>
      </w:r>
    </w:p>
    <w:p w14:paraId="272496AD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>Порядок розірвання трудового договору з ініціативи роботодавця.</w:t>
      </w:r>
    </w:p>
    <w:p w14:paraId="41B5388C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>Попередня згода профспілкового органу на розірвання трудового договору з ініціативи роботодавця.</w:t>
      </w:r>
    </w:p>
    <w:p w14:paraId="60473A8F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  <w:lang w:eastAsia="ru-RU"/>
        </w:rPr>
      </w:pPr>
      <w:r w:rsidRPr="00FD10EF">
        <w:rPr>
          <w:sz w:val="28"/>
          <w:szCs w:val="28"/>
          <w:lang w:eastAsia="ru-RU"/>
        </w:rPr>
        <w:t xml:space="preserve">Розірвання трудового договору з ініціативи осіб, які не є стороною трудового договору. </w:t>
      </w:r>
    </w:p>
    <w:p w14:paraId="279E68C7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Поняття робочого часу, його  види та порядок його нормування. </w:t>
      </w:r>
    </w:p>
    <w:p w14:paraId="03265232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Режими використання робочого часу та їх види. Надурочна робота та ненормований робочий час.</w:t>
      </w:r>
    </w:p>
    <w:p w14:paraId="702BE89B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Облік робочого часу. Поняття та види часу відпочинку протягом робочого дня. </w:t>
      </w:r>
    </w:p>
    <w:p w14:paraId="5F877519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Святкові і неробочі дні. Відпустки, їх види та порядок надання.</w:t>
      </w:r>
    </w:p>
    <w:p w14:paraId="6AA43B7D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FD10EF">
        <w:rPr>
          <w:rStyle w:val="markedcontent"/>
          <w:sz w:val="28"/>
          <w:szCs w:val="28"/>
        </w:rPr>
        <w:t>Соціально-економічна сутність</w:t>
      </w:r>
      <w:r w:rsidRPr="00FD10EF">
        <w:rPr>
          <w:sz w:val="28"/>
          <w:szCs w:val="28"/>
        </w:rPr>
        <w:t xml:space="preserve"> </w:t>
      </w:r>
      <w:r w:rsidRPr="00FD10EF">
        <w:rPr>
          <w:rStyle w:val="markedcontent"/>
          <w:sz w:val="28"/>
          <w:szCs w:val="28"/>
        </w:rPr>
        <w:t xml:space="preserve">оплати праці. </w:t>
      </w:r>
    </w:p>
    <w:p w14:paraId="398B0A78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FD10EF">
        <w:rPr>
          <w:rStyle w:val="markedcontent"/>
          <w:sz w:val="28"/>
          <w:szCs w:val="28"/>
        </w:rPr>
        <w:t>Функції заробітної</w:t>
      </w:r>
      <w:r w:rsidRPr="00FD10EF">
        <w:rPr>
          <w:sz w:val="28"/>
          <w:szCs w:val="28"/>
        </w:rPr>
        <w:t xml:space="preserve"> </w:t>
      </w:r>
      <w:r w:rsidRPr="00FD10EF">
        <w:rPr>
          <w:rStyle w:val="markedcontent"/>
          <w:sz w:val="28"/>
          <w:szCs w:val="28"/>
        </w:rPr>
        <w:t>плати та її структура.</w:t>
      </w:r>
    </w:p>
    <w:p w14:paraId="261D7231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FD10EF">
        <w:rPr>
          <w:rStyle w:val="markedcontent"/>
          <w:sz w:val="28"/>
          <w:szCs w:val="28"/>
        </w:rPr>
        <w:t>Сутність понять «погодинна форма оплати» та «відрядна форма оплати», різновидів їх систем.</w:t>
      </w:r>
    </w:p>
    <w:p w14:paraId="52B2780C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FD10EF">
        <w:rPr>
          <w:rStyle w:val="markedcontent"/>
          <w:sz w:val="28"/>
          <w:szCs w:val="28"/>
        </w:rPr>
        <w:t>Державне та договірне</w:t>
      </w:r>
      <w:r w:rsidRPr="00FD10EF">
        <w:rPr>
          <w:sz w:val="28"/>
          <w:szCs w:val="28"/>
        </w:rPr>
        <w:t xml:space="preserve"> </w:t>
      </w:r>
      <w:r w:rsidRPr="00FD10EF">
        <w:rPr>
          <w:rStyle w:val="markedcontent"/>
          <w:sz w:val="28"/>
          <w:szCs w:val="28"/>
        </w:rPr>
        <w:t>регулювання оплати праці.</w:t>
      </w:r>
    </w:p>
    <w:p w14:paraId="23B451AF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Організація професійного навчання працівників та його форми.</w:t>
      </w:r>
    </w:p>
    <w:p w14:paraId="57AE5A93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Оцінювання найманих працівників. Атестація працівників як форма оцінювання їх трудової діяльності.</w:t>
      </w:r>
    </w:p>
    <w:p w14:paraId="56D5957D" w14:textId="77777777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Трудова дисципліна як складова виробничої дисципліни. Внутрішній трудовий розпорядок на підприємствах, в установах та організаціях.</w:t>
      </w:r>
    </w:p>
    <w:p w14:paraId="5AD4BF50" w14:textId="580BC6CC" w:rsidR="002C4E4E" w:rsidRPr="00FD10EF" w:rsidRDefault="002C4E4E" w:rsidP="00FD10EF">
      <w:pPr>
        <w:pStyle w:val="a3"/>
        <w:numPr>
          <w:ilvl w:val="0"/>
          <w:numId w:val="19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Дисциплінарна відповідальність та дисциплінарні стягнення: поняття, види, підстави.</w:t>
      </w:r>
    </w:p>
    <w:p w14:paraId="6AE73432" w14:textId="71BE6C9A" w:rsidR="00FD10EF" w:rsidRPr="00FD10EF" w:rsidRDefault="00FD10EF" w:rsidP="00FD10EF">
      <w:pPr>
        <w:spacing w:before="120" w:after="120"/>
        <w:ind w:left="284" w:right="147"/>
        <w:jc w:val="center"/>
        <w:rPr>
          <w:b/>
          <w:bCs/>
          <w:iCs/>
          <w:spacing w:val="-2"/>
          <w:sz w:val="36"/>
          <w:szCs w:val="40"/>
          <w:u w:val="single"/>
        </w:rPr>
      </w:pPr>
      <w:r w:rsidRPr="00FD10EF">
        <w:rPr>
          <w:b/>
          <w:bCs/>
          <w:iCs/>
          <w:spacing w:val="-2"/>
          <w:sz w:val="36"/>
          <w:szCs w:val="40"/>
          <w:u w:val="single"/>
        </w:rPr>
        <w:t xml:space="preserve">Розділ  </w:t>
      </w:r>
      <w:r>
        <w:rPr>
          <w:b/>
          <w:bCs/>
          <w:iCs/>
          <w:spacing w:val="-2"/>
          <w:sz w:val="36"/>
          <w:szCs w:val="40"/>
          <w:u w:val="single"/>
        </w:rPr>
        <w:t>3</w:t>
      </w:r>
    </w:p>
    <w:p w14:paraId="2EBC5746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Зміст охорони праці як інституту трудового права. Основні напрям державної політики у сфері охорони праці. </w:t>
      </w:r>
    </w:p>
    <w:p w14:paraId="0A6CF1E6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Гарантії прав працівників на охорону праці та здоров’я на виробництві. Організація охорони праці працівників на підприємстві.  </w:t>
      </w:r>
    </w:p>
    <w:p w14:paraId="1088B363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Розслідування та облік нещасних випадків та професійних захворювань, пов’язаних з виробництвом. </w:t>
      </w:r>
    </w:p>
    <w:p w14:paraId="6756A498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Соціальне страхування від нещасного випадку на виробництві та професійного захворювання.</w:t>
      </w:r>
    </w:p>
    <w:p w14:paraId="01F54DF0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Поняття та види трудового колективу, його повноваження. Право працівників на об’єднання.</w:t>
      </w:r>
    </w:p>
    <w:p w14:paraId="3ABBA72F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Повноваження виборного органу первинної профспілкової організації на підприємстві. Гарантії діяльності профспілок.</w:t>
      </w:r>
    </w:p>
    <w:p w14:paraId="4C099C5A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Поняття, причини виникнення та порядок вирішення індивідуальних трудових спорів (конфліктів)..</w:t>
      </w:r>
    </w:p>
    <w:p w14:paraId="27C01737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Поняття, причини виникнення та порядок вирішення колективних трудових спорів (конфліктів).</w:t>
      </w:r>
    </w:p>
    <w:p w14:paraId="0F476FC0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Поняття соціального партнерства та його правове регулювання в Україні.</w:t>
      </w:r>
    </w:p>
    <w:p w14:paraId="4296D943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Роль держави та профспілок у регулюванні соціально-трудових відносин на основі розвитку соціального партнерства.</w:t>
      </w:r>
    </w:p>
    <w:p w14:paraId="3019C83E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rStyle w:val="markedcontent"/>
          <w:sz w:val="28"/>
          <w:szCs w:val="28"/>
        </w:rPr>
      </w:pPr>
      <w:r w:rsidRPr="00FD10EF">
        <w:rPr>
          <w:sz w:val="28"/>
          <w:szCs w:val="28"/>
        </w:rPr>
        <w:t>Характеристика складових соціального партнерства в формуванні соціально</w:t>
      </w:r>
      <w:r w:rsidRPr="00FD10EF">
        <w:rPr>
          <w:rStyle w:val="markedcontent"/>
          <w:sz w:val="28"/>
          <w:szCs w:val="28"/>
        </w:rPr>
        <w:t>-трудових гарантій</w:t>
      </w:r>
      <w:r w:rsidRPr="00FD10EF">
        <w:rPr>
          <w:sz w:val="28"/>
          <w:szCs w:val="28"/>
        </w:rPr>
        <w:t xml:space="preserve"> </w:t>
      </w:r>
      <w:r w:rsidRPr="00FD10EF">
        <w:rPr>
          <w:rStyle w:val="markedcontent"/>
          <w:sz w:val="28"/>
          <w:szCs w:val="28"/>
        </w:rPr>
        <w:t>працівників.</w:t>
      </w:r>
    </w:p>
    <w:p w14:paraId="6823B163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rStyle w:val="markedcontent"/>
          <w:b/>
          <w:sz w:val="28"/>
          <w:szCs w:val="28"/>
        </w:rPr>
      </w:pPr>
      <w:r w:rsidRPr="00FD10EF">
        <w:rPr>
          <w:sz w:val="28"/>
          <w:szCs w:val="28"/>
        </w:rPr>
        <w:t xml:space="preserve">Характеристика складових соціального партнерства в формуванні соціальних відносин бізнесу і громади та суспільства. </w:t>
      </w:r>
    </w:p>
    <w:p w14:paraId="3C590C04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Поняття і сторони соціального діалогу та його правове регулювання в Україні.</w:t>
      </w:r>
    </w:p>
    <w:p w14:paraId="3F2EC241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Колективний договір: його зміст і значення в розбудові соціально-трудових відносин.</w:t>
      </w:r>
    </w:p>
    <w:p w14:paraId="7FDF186B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Колективні угоди та їх значення у регулюванні соціально-трудових відносин.</w:t>
      </w:r>
    </w:p>
    <w:p w14:paraId="2CB8B4C9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Контроль за виконанням колективного договору (колективної угоди). </w:t>
      </w:r>
    </w:p>
    <w:p w14:paraId="44FC5CDC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 xml:space="preserve">Основні напрями соціального захисту в системі соціально-трудових відносин. </w:t>
      </w:r>
    </w:p>
    <w:p w14:paraId="20833599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Державні соціальні гарантії, як підґрунтя  соціального захисту.</w:t>
      </w:r>
    </w:p>
    <w:p w14:paraId="64ABE19B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Державні організаційно-правові форми соціального захисту працюючих та не працюючих громадян.</w:t>
      </w:r>
    </w:p>
    <w:p w14:paraId="30FAEBE6" w14:textId="77777777" w:rsidR="002C4E4E" w:rsidRPr="00FD10EF" w:rsidRDefault="002C4E4E" w:rsidP="00FD10EF">
      <w:pPr>
        <w:pStyle w:val="a3"/>
        <w:numPr>
          <w:ilvl w:val="0"/>
          <w:numId w:val="20"/>
        </w:numPr>
        <w:suppressAutoHyphens w:val="0"/>
        <w:spacing w:line="360" w:lineRule="auto"/>
        <w:ind w:left="0" w:firstLine="284"/>
        <w:jc w:val="both"/>
        <w:rPr>
          <w:sz w:val="28"/>
          <w:szCs w:val="28"/>
        </w:rPr>
      </w:pPr>
      <w:r w:rsidRPr="00FD10EF">
        <w:rPr>
          <w:sz w:val="28"/>
          <w:szCs w:val="28"/>
        </w:rPr>
        <w:t>Недержавні організаційно-правові форми соціального захисту працюючих та не працюючих громадян.</w:t>
      </w:r>
    </w:p>
    <w:bookmarkEnd w:id="1"/>
    <w:p w14:paraId="2538A24F" w14:textId="77777777" w:rsidR="002C4E4E" w:rsidRPr="002C4E4E" w:rsidRDefault="002C4E4E" w:rsidP="002C4E4E">
      <w:pPr>
        <w:jc w:val="both"/>
        <w:rPr>
          <w:b/>
          <w:sz w:val="28"/>
          <w:u w:val="single"/>
        </w:rPr>
      </w:pPr>
    </w:p>
    <w:sectPr w:rsidR="002C4E4E" w:rsidRPr="002C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815"/>
    <w:multiLevelType w:val="hybridMultilevel"/>
    <w:tmpl w:val="7C1A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9E"/>
    <w:multiLevelType w:val="hybridMultilevel"/>
    <w:tmpl w:val="28CC8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0493"/>
    <w:multiLevelType w:val="hybridMultilevel"/>
    <w:tmpl w:val="F264A486"/>
    <w:lvl w:ilvl="0" w:tplc="3984EB5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366747"/>
    <w:multiLevelType w:val="hybridMultilevel"/>
    <w:tmpl w:val="47642322"/>
    <w:lvl w:ilvl="0" w:tplc="BA3039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710CC"/>
    <w:multiLevelType w:val="hybridMultilevel"/>
    <w:tmpl w:val="16703DEE"/>
    <w:lvl w:ilvl="0" w:tplc="3984EB54">
      <w:start w:val="1"/>
      <w:numFmt w:val="decimal"/>
      <w:lvlText w:val="%1."/>
      <w:lvlJc w:val="left"/>
      <w:pPr>
        <w:ind w:left="128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E23E97"/>
    <w:multiLevelType w:val="hybridMultilevel"/>
    <w:tmpl w:val="E354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F57"/>
    <w:multiLevelType w:val="hybridMultilevel"/>
    <w:tmpl w:val="C58C0010"/>
    <w:lvl w:ilvl="0" w:tplc="BEAA2D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34203"/>
    <w:multiLevelType w:val="hybridMultilevel"/>
    <w:tmpl w:val="79F87C22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876E85"/>
    <w:multiLevelType w:val="hybridMultilevel"/>
    <w:tmpl w:val="5D0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AC3"/>
    <w:multiLevelType w:val="hybridMultilevel"/>
    <w:tmpl w:val="2960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71D5"/>
    <w:multiLevelType w:val="hybridMultilevel"/>
    <w:tmpl w:val="787CB1FE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6338BA"/>
    <w:multiLevelType w:val="hybridMultilevel"/>
    <w:tmpl w:val="D6D68A34"/>
    <w:lvl w:ilvl="0" w:tplc="FAEE0D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597521"/>
    <w:multiLevelType w:val="hybridMultilevel"/>
    <w:tmpl w:val="9DC88960"/>
    <w:lvl w:ilvl="0" w:tplc="9AA43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0BE9"/>
    <w:multiLevelType w:val="hybridMultilevel"/>
    <w:tmpl w:val="291C70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1A722C"/>
    <w:multiLevelType w:val="hybridMultilevel"/>
    <w:tmpl w:val="850C96EA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54711AB"/>
    <w:multiLevelType w:val="hybridMultilevel"/>
    <w:tmpl w:val="132AA4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AEA5A67"/>
    <w:multiLevelType w:val="hybridMultilevel"/>
    <w:tmpl w:val="F17603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04F465B"/>
    <w:multiLevelType w:val="hybridMultilevel"/>
    <w:tmpl w:val="F74A732E"/>
    <w:lvl w:ilvl="0" w:tplc="1292BBF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E6434"/>
    <w:multiLevelType w:val="hybridMultilevel"/>
    <w:tmpl w:val="F5F0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20EFB"/>
    <w:multiLevelType w:val="hybridMultilevel"/>
    <w:tmpl w:val="C3A4DC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6"/>
  </w:num>
  <w:num w:numId="5">
    <w:abstractNumId w:val="0"/>
  </w:num>
  <w:num w:numId="6">
    <w:abstractNumId w:val="15"/>
  </w:num>
  <w:num w:numId="7">
    <w:abstractNumId w:val="18"/>
  </w:num>
  <w:num w:numId="8">
    <w:abstractNumId w:val="19"/>
  </w:num>
  <w:num w:numId="9">
    <w:abstractNumId w:val="9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3"/>
  </w:num>
  <w:num w:numId="15">
    <w:abstractNumId w:val="7"/>
  </w:num>
  <w:num w:numId="16">
    <w:abstractNumId w:val="14"/>
  </w:num>
  <w:num w:numId="17">
    <w:abstractNumId w:val="10"/>
  </w:num>
  <w:num w:numId="18">
    <w:abstractNumId w:val="12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C5"/>
    <w:rsid w:val="00102918"/>
    <w:rsid w:val="002C4E4E"/>
    <w:rsid w:val="00455C17"/>
    <w:rsid w:val="00477FCD"/>
    <w:rsid w:val="007A3192"/>
    <w:rsid w:val="0080324B"/>
    <w:rsid w:val="00B01B97"/>
    <w:rsid w:val="00B237E0"/>
    <w:rsid w:val="00B37902"/>
    <w:rsid w:val="00D66AC5"/>
    <w:rsid w:val="00FD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D9BC"/>
  <w15:docId w15:val="{B3FE3314-D134-48A6-B32F-6218EDA1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17"/>
    <w:pPr>
      <w:ind w:left="720"/>
      <w:contextualSpacing/>
    </w:pPr>
  </w:style>
  <w:style w:type="character" w:customStyle="1" w:styleId="markedcontent">
    <w:name w:val="markedcontent"/>
    <w:basedOn w:val="a0"/>
    <w:rsid w:val="002C4E4E"/>
  </w:style>
  <w:style w:type="paragraph" w:styleId="a4">
    <w:name w:val="header"/>
    <w:basedOn w:val="a"/>
    <w:link w:val="a5"/>
    <w:uiPriority w:val="99"/>
    <w:rsid w:val="00FD1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10E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2022-09-08T17:17:00Z</dcterms:created>
  <dcterms:modified xsi:type="dcterms:W3CDTF">2024-08-05T09:28:00Z</dcterms:modified>
</cp:coreProperties>
</file>