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18" w:rsidRPr="008775C3" w:rsidRDefault="00600918" w:rsidP="00600918">
      <w:pPr>
        <w:pStyle w:val="Default"/>
        <w:jc w:val="center"/>
        <w:rPr>
          <w:sz w:val="28"/>
          <w:szCs w:val="28"/>
          <w:lang w:val="uk-UA"/>
        </w:rPr>
      </w:pPr>
      <w:r w:rsidRPr="008775C3">
        <w:rPr>
          <w:b/>
          <w:sz w:val="28"/>
          <w:szCs w:val="28"/>
          <w:lang w:val="uk-UA"/>
        </w:rPr>
        <w:t>ТЕМА 2</w:t>
      </w:r>
    </w:p>
    <w:p w:rsidR="00600918" w:rsidRPr="008775C3" w:rsidRDefault="00600918" w:rsidP="00600918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Види міжкультурної комунікації</w:t>
      </w:r>
    </w:p>
    <w:p w:rsidR="00600918" w:rsidRPr="008775C3" w:rsidRDefault="00600918" w:rsidP="00600918">
      <w:pPr>
        <w:jc w:val="center"/>
        <w:rPr>
          <w:b/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600918" w:rsidRPr="008775C3" w:rsidRDefault="00600918" w:rsidP="0060091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Основні одиниці вербальної комунікації.  </w:t>
      </w:r>
    </w:p>
    <w:p w:rsidR="00600918" w:rsidRPr="008775C3" w:rsidRDefault="00600918" w:rsidP="0060091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Поняття невербальної комунікації. Співвідношення вербального та невербального видів комунікації. </w:t>
      </w:r>
    </w:p>
    <w:p w:rsidR="00600918" w:rsidRPr="008775C3" w:rsidRDefault="00600918" w:rsidP="0060091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Основні форми невербальної комунікації: </w:t>
      </w:r>
      <w:proofErr w:type="spellStart"/>
      <w:r w:rsidRPr="008775C3">
        <w:rPr>
          <w:color w:val="000000"/>
          <w:sz w:val="28"/>
          <w:szCs w:val="28"/>
          <w:lang w:val="uk-UA"/>
        </w:rPr>
        <w:t>кінесика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міміка, </w:t>
      </w:r>
      <w:proofErr w:type="spellStart"/>
      <w:r w:rsidRPr="008775C3">
        <w:rPr>
          <w:color w:val="000000"/>
          <w:sz w:val="28"/>
          <w:szCs w:val="28"/>
          <w:lang w:val="uk-UA"/>
        </w:rPr>
        <w:t>такесика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сенсорика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проксеміка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хронеміка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</w:p>
    <w:p w:rsidR="00600918" w:rsidRPr="008775C3" w:rsidRDefault="00600918" w:rsidP="0060091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Паравербальна комунікація та її основні компоненти. </w:t>
      </w:r>
    </w:p>
    <w:p w:rsidR="00600918" w:rsidRPr="008775C3" w:rsidRDefault="00600918" w:rsidP="0060091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Національно-культурний аспект комунікації.  </w:t>
      </w:r>
    </w:p>
    <w:p w:rsidR="00600918" w:rsidRPr="008775C3" w:rsidRDefault="00600918" w:rsidP="00600918">
      <w:pPr>
        <w:ind w:left="720"/>
        <w:rPr>
          <w:b/>
          <w:bCs/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 w:rsidRPr="008775C3">
        <w:rPr>
          <w:b/>
          <w:bCs/>
          <w:color w:val="000000"/>
          <w:sz w:val="28"/>
          <w:szCs w:val="28"/>
          <w:lang w:val="uk-UA"/>
        </w:rPr>
        <w:t>Література</w:t>
      </w:r>
    </w:p>
    <w:p w:rsidR="00600918" w:rsidRPr="008775C3" w:rsidRDefault="00600918" w:rsidP="00600918">
      <w:pPr>
        <w:rPr>
          <w:b/>
          <w:bCs/>
          <w:color w:val="000000"/>
          <w:sz w:val="28"/>
          <w:szCs w:val="28"/>
          <w:lang w:val="uk-UA"/>
        </w:rPr>
      </w:pPr>
      <w:r w:rsidRPr="008775C3">
        <w:rPr>
          <w:b/>
          <w:bCs/>
          <w:color w:val="000000"/>
          <w:sz w:val="28"/>
          <w:szCs w:val="28"/>
          <w:lang w:val="uk-UA"/>
        </w:rPr>
        <w:t>Основна:</w:t>
      </w:r>
    </w:p>
    <w:p w:rsidR="00600918" w:rsidRPr="008775C3" w:rsidRDefault="00600918" w:rsidP="00600918">
      <w:pPr>
        <w:numPr>
          <w:ilvl w:val="0"/>
          <w:numId w:val="3"/>
        </w:numPr>
        <w:ind w:left="426" w:right="50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Верховод Л. Соціологія культури та міжкультурна комунікація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навч.-метод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посіб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Старобільськ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: Вид-во ДЗ «ЛНУ імені Тараса Шевченка», 2018. С. 186–192.</w:t>
      </w:r>
    </w:p>
    <w:p w:rsidR="00600918" w:rsidRPr="008775C3" w:rsidRDefault="00600918" w:rsidP="00600918">
      <w:pPr>
        <w:numPr>
          <w:ilvl w:val="0"/>
          <w:numId w:val="3"/>
        </w:numPr>
        <w:ind w:left="426" w:hanging="426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Ребрій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О. Теорія міжкультурної комунікації : конспект лекцій. Харків, 2022. С. 39–47.</w:t>
      </w:r>
    </w:p>
    <w:p w:rsidR="00600918" w:rsidRPr="008775C3" w:rsidRDefault="00600918" w:rsidP="00600918">
      <w:pPr>
        <w:numPr>
          <w:ilvl w:val="0"/>
          <w:numId w:val="3"/>
        </w:numPr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Шебаніна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О. та ін. Міжкультурна комунікація : опорний конспект лекцій. Миколаїв, 2021. С. 32–40, 43–50.</w:t>
      </w:r>
    </w:p>
    <w:p w:rsidR="00600918" w:rsidRPr="008775C3" w:rsidRDefault="00600918" w:rsidP="00600918">
      <w:pPr>
        <w:ind w:left="720" w:right="50"/>
        <w:jc w:val="both"/>
        <w:rPr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pStyle w:val="a3"/>
        <w:tabs>
          <w:tab w:val="left" w:pos="426"/>
        </w:tabs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Додаткова: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Бацевич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Ф. Основи комунікативної лінгвістики : підручник. Київ : Видавничий центр «Академія», 2004. С. 57–86.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Бистрицький С., </w:t>
      </w:r>
      <w:proofErr w:type="spellStart"/>
      <w:r w:rsidRPr="008775C3">
        <w:rPr>
          <w:color w:val="000000"/>
          <w:sz w:val="28"/>
          <w:szCs w:val="28"/>
          <w:lang w:val="uk-UA"/>
        </w:rPr>
        <w:t>Пролеєв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С., Зимовець Р. Комунікація і культура в глобальному світі. Київ : Дух і Літера, 2020. С. 19–144. 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Горох Г., </w:t>
      </w:r>
      <w:proofErr w:type="spellStart"/>
      <w:r w:rsidRPr="008775C3">
        <w:rPr>
          <w:color w:val="000000"/>
          <w:sz w:val="28"/>
          <w:szCs w:val="28"/>
          <w:lang w:val="uk-UA"/>
        </w:rPr>
        <w:t>Карпалюк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Природа, компоненти і форми комунікації. Компоненти комунікації. </w:t>
      </w:r>
      <w:r w:rsidRPr="008775C3">
        <w:rPr>
          <w:i/>
          <w:color w:val="000000"/>
          <w:sz w:val="28"/>
          <w:szCs w:val="28"/>
          <w:lang w:val="uk-UA"/>
        </w:rPr>
        <w:t xml:space="preserve">Комунікативна лінгвістика :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навч.-метод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посіб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>.</w:t>
      </w:r>
      <w:r w:rsidRPr="008775C3">
        <w:rPr>
          <w:color w:val="000000"/>
          <w:sz w:val="28"/>
          <w:szCs w:val="28"/>
          <w:lang w:val="uk-UA"/>
        </w:rPr>
        <w:t xml:space="preserve"> Кам’янець-Подільський, 2009. С. 14–53.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Греченко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В., Чорний І., </w:t>
      </w:r>
      <w:proofErr w:type="spellStart"/>
      <w:r w:rsidRPr="008775C3">
        <w:rPr>
          <w:color w:val="000000"/>
          <w:sz w:val="28"/>
          <w:szCs w:val="28"/>
          <w:lang w:val="uk-UA"/>
        </w:rPr>
        <w:t>Кушнерук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В., </w:t>
      </w:r>
      <w:proofErr w:type="spellStart"/>
      <w:r w:rsidRPr="008775C3">
        <w:rPr>
          <w:color w:val="000000"/>
          <w:sz w:val="28"/>
          <w:szCs w:val="28"/>
          <w:lang w:val="uk-UA"/>
        </w:rPr>
        <w:t>Режко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Історія світової культури : підручник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вищ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закл</w:t>
      </w:r>
      <w:proofErr w:type="spellEnd"/>
      <w:r w:rsidRPr="008775C3">
        <w:rPr>
          <w:color w:val="000000"/>
          <w:sz w:val="28"/>
          <w:szCs w:val="28"/>
          <w:lang w:val="uk-UA"/>
        </w:rPr>
        <w:t>. освіти. Київ : Літера ЛТД, 2002. 464 с.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Каганцева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О. Проблеми комунікації в аспекті лінгвокраїнознавства. </w:t>
      </w:r>
      <w:r w:rsidRPr="008775C3">
        <w:rPr>
          <w:i/>
          <w:color w:val="000000"/>
          <w:sz w:val="28"/>
          <w:szCs w:val="28"/>
          <w:lang w:val="uk-UA"/>
        </w:rPr>
        <w:t>Держава та регіони</w:t>
      </w:r>
      <w:r w:rsidRPr="008775C3">
        <w:rPr>
          <w:color w:val="000000"/>
          <w:sz w:val="28"/>
          <w:szCs w:val="28"/>
          <w:lang w:val="uk-UA"/>
        </w:rPr>
        <w:t>. Серія : Гуманітарні науки. 2007. № 4. С. 61–64.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Ковалинська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І. Невербальна комунікація. Київ : Вид-во «Освіта України», 2014. 289 с.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Лебедєва Л. Міжкультурна комунікація: лінгвістичний аспект. </w:t>
      </w:r>
      <w:r w:rsidRPr="008775C3">
        <w:rPr>
          <w:i/>
          <w:color w:val="000000"/>
          <w:sz w:val="28"/>
          <w:szCs w:val="28"/>
          <w:lang w:val="uk-UA"/>
        </w:rPr>
        <w:t>Філологічні студії</w:t>
      </w:r>
      <w:r w:rsidRPr="008775C3">
        <w:rPr>
          <w:color w:val="000000"/>
          <w:sz w:val="28"/>
          <w:szCs w:val="28"/>
          <w:lang w:val="uk-UA"/>
        </w:rPr>
        <w:t>. 2013. Вип. 9. С. 246–252.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>Манакін</w:t>
      </w:r>
      <w:proofErr w:type="spellEnd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 xml:space="preserve"> В. </w:t>
      </w:r>
      <w:r w:rsidRPr="008775C3">
        <w:rPr>
          <w:rFonts w:eastAsia="PTSerif-Italic"/>
          <w:color w:val="000000"/>
          <w:sz w:val="28"/>
          <w:szCs w:val="28"/>
          <w:lang w:val="uk-UA"/>
        </w:rPr>
        <w:t>Мова і міжкультурна комунікація. Київ : ВЦ «Академія», 2012. С. 126–225.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Радченко І. Вступ до теорії міжкультурної комунікації : конспект лекцій. Харків : </w:t>
      </w:r>
      <w:proofErr w:type="spellStart"/>
      <w:r w:rsidRPr="008775C3">
        <w:rPr>
          <w:color w:val="000000"/>
          <w:sz w:val="28"/>
          <w:szCs w:val="28"/>
          <w:lang w:val="uk-UA"/>
        </w:rPr>
        <w:t>УкрДУЗТ</w:t>
      </w:r>
      <w:proofErr w:type="spellEnd"/>
      <w:r w:rsidRPr="008775C3">
        <w:rPr>
          <w:color w:val="000000"/>
          <w:sz w:val="28"/>
          <w:szCs w:val="28"/>
          <w:lang w:val="uk-UA"/>
        </w:rPr>
        <w:t>, 2021. С. 33–49.</w:t>
      </w:r>
    </w:p>
    <w:p w:rsidR="00600918" w:rsidRPr="008775C3" w:rsidRDefault="00600918" w:rsidP="00600918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Тарасова Н. Класифікація форм комунікації в епоху панування візуальних образів. </w:t>
      </w:r>
      <w:r w:rsidRPr="008775C3">
        <w:rPr>
          <w:i/>
          <w:color w:val="000000"/>
          <w:sz w:val="28"/>
          <w:szCs w:val="28"/>
          <w:lang w:val="uk-UA"/>
        </w:rPr>
        <w:t xml:space="preserve">Вісник Харківського національного університету імені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lastRenderedPageBreak/>
        <w:t>В. Н. Караз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>іна.</w:t>
      </w:r>
      <w:r w:rsidRPr="008775C3">
        <w:rPr>
          <w:color w:val="000000"/>
          <w:sz w:val="28"/>
          <w:szCs w:val="28"/>
          <w:lang w:val="uk-UA"/>
        </w:rPr>
        <w:t xml:space="preserve"> Серія : Соціологічні дослідження сучасного суспільства: методологія, теорія, методи. Харків, 2014. № 1122. Вип. 33. С. 33–38.</w:t>
      </w:r>
    </w:p>
    <w:p w:rsidR="00600918" w:rsidRPr="008775C3" w:rsidRDefault="00600918" w:rsidP="00600918">
      <w:pPr>
        <w:pStyle w:val="a3"/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pStyle w:val="a3"/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Методичні рекомендації: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Комунікація за допомогою людської мови називається вербальною. Вона є основним способом комунікації в суспільстві. Окреслюючи її специфіку, варто зупинитися на ролі основних її одиниць на фонетичному, лексичному, фразеологічному рівнях крізь призму міжкультурної комунікації. 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Використання невербальних засобів, символів і знаків для передачі інформації – невербальна комунікація. Спілкування за допомогою словесних і несловесних знаків тісно між собою пов’язані і часто невербальна комунікація доповнює, а подекуди й замінює, вербальну. Після з’ясування специфіки цього найдавнішого способу спілкування слід пояснити суть основних типів невербальних засобів комунікації (комунікативні знаки, поведінкові знаки, ненавмисні знаки) та основних форм невербальної комунікації (</w:t>
      </w:r>
      <w:proofErr w:type="spellStart"/>
      <w:r w:rsidRPr="008775C3">
        <w:rPr>
          <w:color w:val="000000"/>
          <w:sz w:val="28"/>
          <w:szCs w:val="28"/>
          <w:lang w:val="uk-UA"/>
        </w:rPr>
        <w:t>кінесика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міміка, </w:t>
      </w:r>
      <w:proofErr w:type="spellStart"/>
      <w:r w:rsidRPr="008775C3">
        <w:rPr>
          <w:color w:val="000000"/>
          <w:sz w:val="28"/>
          <w:szCs w:val="28"/>
          <w:lang w:val="uk-UA"/>
        </w:rPr>
        <w:t>такесика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сенсорика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проксеміка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хронеміка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). 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Сенс висловленого може змінюватися також залежно від інтонації, ритму, тембру, темпу, логічних наголосів, пауз, зітхань, манери мовлення тощо. Ці звукові елементи передачі інформації називаються </w:t>
      </w:r>
      <w:proofErr w:type="spellStart"/>
      <w:r w:rsidRPr="008775C3">
        <w:rPr>
          <w:color w:val="000000"/>
          <w:sz w:val="28"/>
          <w:szCs w:val="28"/>
          <w:lang w:val="uk-UA"/>
        </w:rPr>
        <w:t>паравербальною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комунікацією. Розкриттю специфіки цього виду міжкультурної комунікації сприятиме з’ясування функцій паравербальних акустичних засобів та їх можливостей при доповненні вербальної і невербальної комунікацій. 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Відповідаючи на останнє питання плану про національно-культурні аспекти комунікації, слід зосередити увагу на міжкультурних відмінностях вербальних, невербальних та паравербальних кодів комунікації.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Завдання:</w:t>
      </w:r>
    </w:p>
    <w:p w:rsidR="00600918" w:rsidRPr="008775C3" w:rsidRDefault="00600918" w:rsidP="0060091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Наведіть 2–3 приклади відмінностей у сприйнятті невербальної комунікації представниками різних культур.</w:t>
      </w:r>
    </w:p>
    <w:p w:rsidR="00600918" w:rsidRPr="008775C3" w:rsidRDefault="00600918" w:rsidP="00600918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Покажіть на прикладах, як від паравербальних засобів змінюється значення одного й того ж речення.</w:t>
      </w:r>
    </w:p>
    <w:p w:rsidR="00600918" w:rsidRPr="008775C3" w:rsidRDefault="00600918" w:rsidP="00600918">
      <w:pPr>
        <w:pStyle w:val="a3"/>
        <w:tabs>
          <w:tab w:val="left" w:pos="0"/>
        </w:tabs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val="uk-UA"/>
        </w:rPr>
      </w:pPr>
    </w:p>
    <w:p w:rsidR="00600918" w:rsidRPr="008775C3" w:rsidRDefault="00600918" w:rsidP="00600918">
      <w:pPr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 </w:t>
      </w:r>
      <w:r w:rsidRPr="008775C3">
        <w:rPr>
          <w:b/>
          <w:color w:val="000000"/>
          <w:sz w:val="28"/>
          <w:szCs w:val="28"/>
          <w:lang w:val="uk-UA"/>
        </w:rPr>
        <w:t>Питання для самоперевірки:</w:t>
      </w:r>
    </w:p>
    <w:p w:rsidR="00600918" w:rsidRPr="008775C3" w:rsidRDefault="00600918" w:rsidP="00600918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Дайте визначення вербальної комунікації. Які її основні одиниці?</w:t>
      </w:r>
    </w:p>
    <w:p w:rsidR="00600918" w:rsidRPr="008775C3" w:rsidRDefault="00600918" w:rsidP="00600918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Що належить до засобів невербальної комунікації? Які їх типи виділяють?</w:t>
      </w:r>
    </w:p>
    <w:p w:rsidR="00600918" w:rsidRPr="008775C3" w:rsidRDefault="00600918" w:rsidP="00600918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Які характеристики лежать в основі кожної із форм невербальної комунікації – </w:t>
      </w:r>
      <w:proofErr w:type="spellStart"/>
      <w:r w:rsidRPr="008775C3">
        <w:rPr>
          <w:color w:val="000000"/>
          <w:sz w:val="28"/>
          <w:szCs w:val="28"/>
          <w:lang w:val="uk-UA"/>
        </w:rPr>
        <w:t>кінесики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міміки, </w:t>
      </w:r>
      <w:proofErr w:type="spellStart"/>
      <w:r w:rsidRPr="008775C3">
        <w:rPr>
          <w:color w:val="000000"/>
          <w:sz w:val="28"/>
          <w:szCs w:val="28"/>
          <w:lang w:val="uk-UA"/>
        </w:rPr>
        <w:t>такесики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сенсорики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8775C3">
        <w:rPr>
          <w:color w:val="000000"/>
          <w:sz w:val="28"/>
          <w:szCs w:val="28"/>
          <w:lang w:val="uk-UA"/>
        </w:rPr>
        <w:t>проксеміки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8775C3">
        <w:rPr>
          <w:color w:val="000000"/>
          <w:sz w:val="28"/>
          <w:szCs w:val="28"/>
          <w:lang w:val="uk-UA"/>
        </w:rPr>
        <w:t>хронеміки</w:t>
      </w:r>
      <w:proofErr w:type="spellEnd"/>
      <w:r w:rsidRPr="008775C3">
        <w:rPr>
          <w:color w:val="000000"/>
          <w:sz w:val="28"/>
          <w:szCs w:val="28"/>
          <w:lang w:val="uk-UA"/>
        </w:rPr>
        <w:t>?</w:t>
      </w:r>
    </w:p>
    <w:p w:rsidR="00600918" w:rsidRPr="008775C3" w:rsidRDefault="00600918" w:rsidP="00600918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Які</w:t>
      </w:r>
      <w:r w:rsidRPr="008775C3">
        <w:rPr>
          <w:color w:val="000000"/>
          <w:sz w:val="28"/>
          <w:szCs w:val="28"/>
          <w:lang w:val="uk-UA"/>
        </w:rPr>
        <w:t xml:space="preserve"> засоби комунікації належить до паравербальних?</w:t>
      </w:r>
    </w:p>
    <w:p w:rsidR="00600918" w:rsidRPr="008775C3" w:rsidRDefault="00600918" w:rsidP="00600918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Як саме може змінюватися характер комунікації при поєднанні засобів вербальної, невербальної і </w:t>
      </w:r>
      <w:proofErr w:type="spellStart"/>
      <w:r w:rsidRPr="008775C3">
        <w:rPr>
          <w:color w:val="000000"/>
          <w:sz w:val="28"/>
          <w:szCs w:val="28"/>
          <w:lang w:val="uk-UA"/>
        </w:rPr>
        <w:t>паравербальної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комунікацій? </w:t>
      </w:r>
    </w:p>
    <w:p w:rsidR="000F2DE2" w:rsidRPr="00600918" w:rsidRDefault="000F2DE2">
      <w:pPr>
        <w:rPr>
          <w:lang w:val="uk-UA"/>
        </w:rPr>
      </w:pPr>
      <w:bookmarkStart w:id="0" w:name="_GoBack"/>
      <w:bookmarkEnd w:id="0"/>
    </w:p>
    <w:sectPr w:rsidR="000F2DE2" w:rsidRPr="0060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A02"/>
    <w:multiLevelType w:val="hybridMultilevel"/>
    <w:tmpl w:val="A144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06AE8"/>
    <w:multiLevelType w:val="hybridMultilevel"/>
    <w:tmpl w:val="E5D0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7044D"/>
    <w:multiLevelType w:val="hybridMultilevel"/>
    <w:tmpl w:val="8566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61931"/>
    <w:multiLevelType w:val="hybridMultilevel"/>
    <w:tmpl w:val="55F8664E"/>
    <w:lvl w:ilvl="0" w:tplc="9E826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FE4"/>
    <w:multiLevelType w:val="hybridMultilevel"/>
    <w:tmpl w:val="685A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12"/>
    <w:rsid w:val="000F2DE2"/>
    <w:rsid w:val="003C1A2A"/>
    <w:rsid w:val="00600918"/>
    <w:rsid w:val="00696312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0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Company>diakov.net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2024-09-04T09:58:00Z</dcterms:created>
  <dcterms:modified xsi:type="dcterms:W3CDTF">2024-09-04T09:58:00Z</dcterms:modified>
</cp:coreProperties>
</file>