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68" w:rsidRDefault="00DE1B68" w:rsidP="00DE1B68">
      <w:pPr>
        <w:tabs>
          <w:tab w:val="num" w:pos="108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Лекція</w:t>
      </w:r>
      <w:r>
        <w:rPr>
          <w:b/>
          <w:sz w:val="28"/>
          <w:szCs w:val="28"/>
        </w:rPr>
        <w:t xml:space="preserve">. Ґендерні аспекти соціалізації дитини. </w:t>
      </w:r>
    </w:p>
    <w:p w:rsidR="00DE1B68" w:rsidRDefault="00DE1B68" w:rsidP="00DE1B68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DE1B68" w:rsidRDefault="00DE1B68" w:rsidP="00DE1B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Вітчизняна педагогічна наука розуміє </w:t>
      </w:r>
      <w:r w:rsidRPr="00DE1B68">
        <w:rPr>
          <w:sz w:val="28"/>
          <w:szCs w:val="28"/>
        </w:rPr>
        <w:t>ґендерну соціалізацію</w:t>
      </w:r>
      <w:r>
        <w:rPr>
          <w:sz w:val="28"/>
          <w:szCs w:val="28"/>
        </w:rPr>
        <w:t xml:space="preserve"> як формування особистості певної статі. Поняття «ґендерної соціалізації» не нове. Найпопулярнішим є визначення її як процесу спрямованого і спонтанного впливу на особистість, що допомагає їй стати повноцінним чоловіком чи жінкою і прилучає її до прийнятої в суспільстві системи ґендерних ролей і взаємин між статями у житті. Ґендерна соціалізація при цьому розглядається як процес наслідування, прийняття й відтворення чоловіком чи жінкою тих культурно-нормативних стандартів, які суспільство вважає відповідними до їх ґендерних ролей. </w:t>
      </w:r>
    </w:p>
    <w:p w:rsidR="00DE1B68" w:rsidRDefault="00DE1B68" w:rsidP="00DE1B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Ґендерна соціалізація  дитини починається від народження, коли батьки та інші дорослі, визначивши паспортну стать малюка, починають навчати його ґендерній ролі хлопчика чи дівчинки. Основними аспектами соціалізації</w:t>
      </w:r>
      <w:bookmarkStart w:id="0" w:name="_GoBack"/>
      <w:bookmarkEnd w:id="0"/>
      <w:r>
        <w:rPr>
          <w:sz w:val="28"/>
          <w:szCs w:val="28"/>
        </w:rPr>
        <w:t xml:space="preserve"> є: присвоєння (процес засвоєння соціального досвіду, тобто вплив середовища на індивіда) та </w:t>
      </w:r>
      <w:proofErr w:type="spellStart"/>
      <w:r>
        <w:rPr>
          <w:sz w:val="28"/>
          <w:szCs w:val="28"/>
        </w:rPr>
        <w:t>опредмечування</w:t>
      </w:r>
      <w:proofErr w:type="spellEnd"/>
      <w:r>
        <w:rPr>
          <w:sz w:val="28"/>
          <w:szCs w:val="28"/>
        </w:rPr>
        <w:t xml:space="preserve"> (процес відтворення соціального досвіду, тобто вплив людини на середовище). У рамках ґендерної соціалізації під присвоєнням ми розуміємо те, що змалку дитина засвоює, що означає бути хлопчиком чи дівчинкою, чоловіком чи жінкою. </w:t>
      </w:r>
      <w:proofErr w:type="spellStart"/>
      <w:r>
        <w:rPr>
          <w:sz w:val="28"/>
          <w:szCs w:val="28"/>
        </w:rPr>
        <w:t>Опредмечування</w:t>
      </w:r>
      <w:proofErr w:type="spellEnd"/>
      <w:r>
        <w:rPr>
          <w:sz w:val="28"/>
          <w:szCs w:val="28"/>
        </w:rPr>
        <w:t xml:space="preserve"> – це реалізація на практиці засвоєних ґендерних схем.</w:t>
      </w:r>
    </w:p>
    <w:p w:rsidR="00DE1B68" w:rsidRDefault="00DE1B68" w:rsidP="00DE1B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Американський соціолог </w:t>
      </w:r>
      <w:proofErr w:type="spellStart"/>
      <w:r>
        <w:rPr>
          <w:sz w:val="28"/>
          <w:szCs w:val="28"/>
        </w:rPr>
        <w:t>Рут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Хартлі</w:t>
      </w:r>
      <w:proofErr w:type="spellEnd"/>
      <w:r>
        <w:rPr>
          <w:sz w:val="28"/>
          <w:szCs w:val="28"/>
        </w:rPr>
        <w:t xml:space="preserve"> виділяє чотири основні способи конструювання дорослими ґендерної ролі дитини: соціалізація через маніпуляції, вербальна апеляція, „каналізація”, демонстрація діяльності. Приклад першого процесу: стурбованість матері зовнішністю дитини – дівчинки, другого – часті звертання в стилі „ти моя красуня”, підкреслювання її привабливості. Дитина привчається дивитися на себе очима матері, а вербальна апеляція посилює дію маніпулятивного процесу. Дівчинка отримує уявлення про те, що зовнішній вигляд, красивий одяг – це дуже важливо. „Каналізація” означає спрямування уваги дитини на певні об’єкти, наприклад, на іграшки (дочки-матері, кухня, схвалення ігор, властивих для своєї статі). </w:t>
      </w:r>
      <w:r>
        <w:rPr>
          <w:sz w:val="28"/>
          <w:szCs w:val="28"/>
        </w:rPr>
        <w:lastRenderedPageBreak/>
        <w:t xml:space="preserve">„Демонстрація діяльності” – навчання тим видам ґендерної діяльності, що прийняті в суспільстві. До цього можна додати і такі способи соціалізації як диференційне підсилення і диференційне наслідування. Про диференційне підсилення говорять, коли </w:t>
      </w:r>
      <w:proofErr w:type="spellStart"/>
      <w:r>
        <w:rPr>
          <w:sz w:val="28"/>
          <w:szCs w:val="28"/>
        </w:rPr>
        <w:t>сприйнятна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ґендерно</w:t>
      </w:r>
      <w:proofErr w:type="spellEnd"/>
      <w:r>
        <w:rPr>
          <w:sz w:val="28"/>
          <w:szCs w:val="28"/>
        </w:rPr>
        <w:t>-ролева поведінка заохочується, а неприйнятна – не схвалюється, карається, за умови, що заохочення чи покарання людини за певні моделі поведінки, інтереси і т. п. залежать від її біологічної статі. Заохочення часто виступає у формі суспільного схвалення, навпаки, відхилення від моделі поведінки, що відповідає  ґендерній ролі, карається соціальним несхваленням. Диференційне наслідування – процес, в ході якого людина вибирає ролеві моделі і починає наслідувати їх.</w:t>
      </w:r>
    </w:p>
    <w:p w:rsidR="00DE1B68" w:rsidRDefault="00DE1B68" w:rsidP="00DE1B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Психологічними механізмами ґендерної соціалізації є: процес ідентифікації (психоаналітична теорія); соціальні підкріплення (теорія соціального </w:t>
      </w:r>
      <w:proofErr w:type="spellStart"/>
      <w:r>
        <w:rPr>
          <w:sz w:val="28"/>
          <w:szCs w:val="28"/>
        </w:rPr>
        <w:t>научіння</w:t>
      </w:r>
      <w:proofErr w:type="spellEnd"/>
      <w:r>
        <w:rPr>
          <w:sz w:val="28"/>
          <w:szCs w:val="28"/>
        </w:rPr>
        <w:t xml:space="preserve"> й статевої типізації); усвідомлення ґендерної ролі (теорія когнітивного розвитку); соціальні очікування (нова психологія статі); ґендерні схеми (теорія ґендерної схеми). Зокрема, кожний з цих механізмів навряд чи зможе пояснити ґендерну соціалізацію. Ш. Берн, говорячи про механізми ґендерної соціалізації, виділяє три типи підпорядкування людей  ґендерним нормам: поступливість, схвалення та ідентифікацію. Поступливість – це такий тип підпорядкування соціальним нормам, коли людина їх не сприймає, але приводить свою поведінку  відповідно до них, щоб уникнути покарання й отримати соціальне схвалення. Схвалення чи </w:t>
      </w:r>
      <w:proofErr w:type="spellStart"/>
      <w:r>
        <w:rPr>
          <w:sz w:val="28"/>
          <w:szCs w:val="28"/>
        </w:rPr>
        <w:t>інтерналізація</w:t>
      </w:r>
      <w:proofErr w:type="spellEnd"/>
      <w:r>
        <w:rPr>
          <w:sz w:val="28"/>
          <w:szCs w:val="28"/>
        </w:rPr>
        <w:t xml:space="preserve"> – це тип підпорядкування, коли людина повністю згідна з ґендерними нормами. Ідентифікація – це повторення дій ролевої моделі (чоловіка, жінки, батька, матері).</w:t>
      </w:r>
    </w:p>
    <w:p w:rsidR="00DE1B68" w:rsidRDefault="00DE1B68" w:rsidP="00DE1B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точки зору соціальної психології, </w:t>
      </w:r>
      <w:proofErr w:type="spellStart"/>
      <w:r>
        <w:rPr>
          <w:sz w:val="28"/>
          <w:szCs w:val="28"/>
        </w:rPr>
        <w:t>ґендер</w:t>
      </w:r>
      <w:proofErr w:type="spellEnd"/>
      <w:r>
        <w:rPr>
          <w:sz w:val="28"/>
          <w:szCs w:val="28"/>
        </w:rPr>
        <w:t xml:space="preserve"> перебуває під сильним впливом як культурних норм, так і соціальної інформації, що навіює людям думку про суттєву відмінність між чоловіками і  жінками. Теорія нормативного та інформаційного тиску частково пояснює, яким чином ми вчимося цим нормам і що змушує нас їх дотримуватися. Термін „нормативний </w:t>
      </w:r>
      <w:r>
        <w:rPr>
          <w:sz w:val="28"/>
          <w:szCs w:val="28"/>
        </w:rPr>
        <w:lastRenderedPageBreak/>
        <w:t>тиск” описує механізм того, як людина вимушена підлаштовуватися під суспільні чи групові очікування (соціальні норми), щоб суспільство її не відкинуло.</w:t>
      </w:r>
    </w:p>
    <w:p w:rsidR="00DE1B68" w:rsidRDefault="00DE1B68" w:rsidP="00DE1B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ґендерній соціалізації важливу роль відіграє ґендерне маркування предметів, дій, яке дає можливість дітям спостерігати, з якою частотою певні дії робляться чоловіками і жінками, і з якою ймовірністю будуть імітувати ту поведінку, яку вважають властивою людям одного з ними </w:t>
      </w:r>
      <w:proofErr w:type="spellStart"/>
      <w:r>
        <w:rPr>
          <w:sz w:val="28"/>
          <w:szCs w:val="28"/>
        </w:rPr>
        <w:t>ґендеру</w:t>
      </w:r>
      <w:proofErr w:type="spellEnd"/>
      <w:r>
        <w:rPr>
          <w:sz w:val="28"/>
          <w:szCs w:val="28"/>
        </w:rPr>
        <w:t>, або дає уявлення дітям про те, хто частіше використовує той чи інший предмет. За результатами наших досліджень, серед персонажів жіночої статі значна кількісна перевага була на боці тих, кого зобразили з предметами, що належать до домашнього господарства. Чоловіків у підручниках і в дитячій літературі частіше малюють зі знаряддями праці. Варто відзначити, що частка чоловіків, намальованих з предметами домашнього вжитку в руках, значно зросла в останні десятиліття.</w:t>
      </w:r>
    </w:p>
    <w:p w:rsidR="00161665" w:rsidRDefault="00161665" w:rsidP="00DE1B68">
      <w:pPr>
        <w:spacing w:line="360" w:lineRule="auto"/>
        <w:jc w:val="both"/>
      </w:pPr>
    </w:p>
    <w:sectPr w:rsidR="0016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30"/>
    <w:rsid w:val="00110824"/>
    <w:rsid w:val="00161665"/>
    <w:rsid w:val="00AC2B30"/>
    <w:rsid w:val="00CB4229"/>
    <w:rsid w:val="00DE1B68"/>
    <w:rsid w:val="00F1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C5C6"/>
  <w15:chartTrackingRefBased/>
  <w15:docId w15:val="{2884C7B2-AD5C-47B4-B0BF-A22EA186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B68"/>
    <w:pPr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uppressAutoHyphens/>
      <w:spacing w:after="240"/>
      <w:ind w:left="1850"/>
      <w:jc w:val="center"/>
      <w:outlineLvl w:val="0"/>
    </w:pPr>
    <w:rPr>
      <w:rFonts w:ascii="Arial" w:hAnsi="Arial"/>
      <w:b/>
      <w:caps/>
      <w:sz w:val="20"/>
      <w:szCs w:val="2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pacing w:before="240" w:after="60"/>
      <w:outlineLvl w:val="1"/>
    </w:pPr>
    <w:rPr>
      <w:rFonts w:ascii="Arial" w:hAnsi="Arial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uppressAutoHyphens/>
      <w:spacing w:after="120"/>
      <w:ind w:firstLine="658"/>
      <w:outlineLvl w:val="2"/>
    </w:pPr>
    <w:rPr>
      <w:rFonts w:ascii="Arial" w:hAnsi="Arial"/>
      <w:i/>
      <w:sz w:val="18"/>
      <w:szCs w:val="22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suppressAutoHyphens/>
      <w:ind w:firstLine="560"/>
      <w:outlineLvl w:val="3"/>
    </w:pPr>
    <w:rPr>
      <w:b/>
      <w:i/>
      <w:sz w:val="20"/>
      <w:szCs w:val="22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pacing w:before="240" w:after="60"/>
      <w:outlineLvl w:val="4"/>
    </w:pPr>
    <w:rPr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pacing w:before="240" w:after="60"/>
      <w:outlineLvl w:val="5"/>
    </w:pPr>
    <w:rPr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uppressAutoHyphens/>
      <w:spacing w:before="240" w:after="60"/>
      <w:outlineLvl w:val="6"/>
    </w:pPr>
    <w:rPr>
      <w:rFonts w:asciiTheme="minorHAnsi" w:eastAsiaTheme="minorEastAsia" w:hAnsiTheme="minorHAns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ind w:left="720"/>
    </w:pPr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2024-09-06T20:12:00Z</dcterms:created>
  <dcterms:modified xsi:type="dcterms:W3CDTF">2024-09-06T20:12:00Z</dcterms:modified>
</cp:coreProperties>
</file>