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8E" w:rsidRDefault="00DB7B8E" w:rsidP="00DB7B8E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</w:t>
      </w:r>
      <w:r>
        <w:rPr>
          <w:b/>
          <w:sz w:val="28"/>
          <w:szCs w:val="28"/>
        </w:rPr>
        <w:t>. Ґендерне виховання школярів</w:t>
      </w:r>
    </w:p>
    <w:p w:rsidR="00DB7B8E" w:rsidRDefault="00DB7B8E" w:rsidP="00DB7B8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B7B8E" w:rsidRDefault="00DB7B8E" w:rsidP="00DB7B8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Основні завдання ґендерної освіти.</w:t>
      </w:r>
    </w:p>
    <w:p w:rsidR="00DB7B8E" w:rsidRDefault="00DB7B8E" w:rsidP="00DB7B8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Організація навчально-виховного процесу на засадах </w:t>
      </w:r>
      <w:proofErr w:type="spellStart"/>
      <w:r>
        <w:rPr>
          <w:sz w:val="28"/>
          <w:szCs w:val="28"/>
        </w:rPr>
        <w:t>ґендеру</w:t>
      </w:r>
      <w:proofErr w:type="spellEnd"/>
      <w:r>
        <w:rPr>
          <w:sz w:val="28"/>
          <w:szCs w:val="28"/>
        </w:rPr>
        <w:t>.</w:t>
      </w:r>
    </w:p>
    <w:p w:rsidR="00DB7B8E" w:rsidRDefault="00DB7B8E" w:rsidP="00DB7B8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Мета ґендерного виховання. </w:t>
      </w:r>
    </w:p>
    <w:p w:rsidR="00DB7B8E" w:rsidRDefault="00DB7B8E" w:rsidP="00DB7B8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Важливими компонентами ґендерної соціалізації особистості є ґендерна освіта та ґендерне виховання. </w:t>
      </w:r>
      <w:r>
        <w:rPr>
          <w:b/>
          <w:sz w:val="28"/>
          <w:szCs w:val="28"/>
        </w:rPr>
        <w:t>Ґендерна освіта</w:t>
      </w:r>
      <w:r>
        <w:rPr>
          <w:sz w:val="28"/>
          <w:szCs w:val="28"/>
        </w:rPr>
        <w:t xml:space="preserve"> включає в себе: систематичне навчання, просвіту (тобто пропаганду й розповсюдження ґендерних знань і ґендерної культури), стимулювання ґендерної самоосвіти.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Ґендерна освіта вирішує наступні завдання в загальному процесі соціалізації: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ознайомлення молоді з інституційними цінностями, нормами і правилами </w:t>
      </w:r>
      <w:proofErr w:type="spellStart"/>
      <w:r>
        <w:rPr>
          <w:sz w:val="28"/>
          <w:szCs w:val="28"/>
        </w:rPr>
        <w:t>міжстатевого</w:t>
      </w:r>
      <w:proofErr w:type="spellEnd"/>
      <w:r>
        <w:rPr>
          <w:sz w:val="28"/>
          <w:szCs w:val="28"/>
        </w:rPr>
        <w:t xml:space="preserve"> спілкування(норми релігії, накази і розпорядження, літературні пасажі);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 формування адекватного розуміння дорослості: її змісту, істинних ознак, проявів і якостей;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формування тілесної ідентичності, з якою тісно пов’язаний психосоматичний потенціал;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розкриття особливостей жіночої і чоловічої психології, а також відмінностей поведінки представників різної статі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формування у підлітків і молоді правильного уявлення про взаємини статей, засновані на системі загальнолюдських і національних моральних цінностей.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Отримані ґендерні знання мають знайти заломлення в адекватній поведінці. А це вже сфера виховання. </w:t>
      </w:r>
      <w:r>
        <w:rPr>
          <w:b/>
          <w:sz w:val="28"/>
          <w:szCs w:val="28"/>
        </w:rPr>
        <w:t>Ґендерне виховання</w:t>
      </w:r>
      <w:r>
        <w:rPr>
          <w:sz w:val="28"/>
          <w:szCs w:val="28"/>
        </w:rPr>
        <w:t xml:space="preserve"> – процес, спрямований на формування якостей, рис, властивостей, що визначають необхідне суспільству ставлення людини до представників іншої статі. Тому у сферу ґендерного виховання входять не лише такі специфічні відносини між представниками чоловічої і жіночої статі, як подружні, але й будь-які інші: в суспільному житті, праці, відпочинку тощо.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Мета ґендерного виховання</w:t>
      </w:r>
      <w:r>
        <w:rPr>
          <w:sz w:val="28"/>
          <w:szCs w:val="28"/>
        </w:rPr>
        <w:t xml:space="preserve"> полягає не лише у формуванні правильного розуміння сутності моральних норм та установок у сфері взаємин статей, але й потреби керуватися ними в усіх сферах діяльності. У процесі ґендерного виховання необхідно вирішити шерег конкретних педагогічних завдань, до яких відноситься формування: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соціальної відповідальності у взаєминах між статями, переконання, що і в сфері інтимних відносин людина не є незалежною від суспільства;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прагнення мати  міцну, дружну сім’ю, що відповідає сучасним вимогам суспільства: рівноправність батька й матері в сім’ї, народження кількох дітей; свідоме і відповідальне ставлення до їх виховання як до свого обов’язку перед суспільством загалом, своїми батьками і дітьми;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здатності розуміння інших людей і почуття поваги до них не лише як до людей взагалі, але й як до представників чоловічої чи жіночої статі, здатності враховувати й поважати їх специфічні статеві особливості в процесі спільної діяльності;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здатності й прагнення оцінювати свої вчинки стосовно інших людей з урахуванням статевої належності, виробляти поняття хорошого й поганого вчинку в сфері цих відносин;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усвідомлення себе представником своєї статі, що підтримує самооцінку і почуття самоповаги, впевненість і потенціал самореалізації;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необхідних навичок спілкування й взаєморозуміння, а також здатності приймати усвідомлені рішення в сфері </w:t>
      </w:r>
      <w:proofErr w:type="spellStart"/>
      <w:r>
        <w:rPr>
          <w:sz w:val="28"/>
          <w:szCs w:val="28"/>
        </w:rPr>
        <w:t>міжстатевих</w:t>
      </w:r>
      <w:proofErr w:type="spellEnd"/>
      <w:r>
        <w:rPr>
          <w:sz w:val="28"/>
          <w:szCs w:val="28"/>
        </w:rPr>
        <w:t xml:space="preserve"> стосунків;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уміння дружити і любити, досвіду нестатевої любові.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Ґендерне виховання необхідно здійснювати з використанням усіх традиційних засобів педагогічного впливу. Це такі: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своєчасна реакція дорослих на ті чи інші особливості поведінки дітей чи підлітків, їх взаємини з однолітками протилежної статі, емоційна оцінка цих особливостей; адекватна реакція на ті чи інші прояви сексуального розвитку дитини чи </w:t>
      </w:r>
      <w:proofErr w:type="spellStart"/>
      <w:r>
        <w:rPr>
          <w:sz w:val="28"/>
          <w:szCs w:val="28"/>
        </w:rPr>
        <w:t>підлітка</w:t>
      </w:r>
      <w:proofErr w:type="spellEnd"/>
      <w:r>
        <w:rPr>
          <w:sz w:val="28"/>
          <w:szCs w:val="28"/>
        </w:rPr>
        <w:t>, що ґрунтується на розумінні того, що в  їх розвитку є нормальним, а що – відхиленням від норми;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приклади правильного ставлення дорослих до представників іншої статі. Дорослі не повинні доводити до дітей свої конфлікти, не варто з’ясовувати в їх присутності свої стосунки і т. п. Приклади можуть бути взяті також з творів художньої літератури, кіно тощо.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Ґендерне виховання пов’язане з моральним, фізичним, естетичним, розумовим і трудовим. Наприклад, у процесі трудового виховання створюються уявлення дітей про те, що праця людей різної статі має свою специфіку, яка пов’язана з фізіологічними особливостями та історичним аспектом розвитку людини: праця чоловіків традиційно передбачає більші фізичні навантаження, ніж праця жінок. Зв’язок ґендерного виховання з фізичним аналогічний: на заняттях фізкультури підбирають такі вправи, які розвивають різні фізичні якості і формують певне ставлення до стилю поведінки (фігура, постава, хода, динаміка рухів). Ґендерне виховання пов’язане з естетичним, наприклад, в організації дозвілля, де враховуються надання переваги дітьми, залежно від статевих відмінностей. Зв’язок ґендерного виховання з моральним виявляється в ознайомленні дітей з елементарними поняттями про мораль, роллю в суспільстві людей різної статі, орієнтації дітей на майбутню соціальну функцію.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ґендерного виховання полягає в тому, що людина як суб’єкт діяльності не може виступати як безстатева істота. З одного боку, це означає, що для виховання можуть бути використані будь-які види діяльності, з другого – що важко знайти якийсь особливий вид діяльності, яку слід було б спеціально організувати чи стимулювати в інтересах ґендерного виховання. Тому той чи інший вид діяльності  учнів – праця, спілкування, гра, навчання – може служити інтересам виховання, якщо педагоги враховують  у процесі їх організації загальні закономірності і, крім того, оцінюють дії школярів з позицій </w:t>
      </w:r>
      <w:proofErr w:type="spellStart"/>
      <w:r>
        <w:rPr>
          <w:sz w:val="28"/>
          <w:szCs w:val="28"/>
        </w:rPr>
        <w:t>ґендеру</w:t>
      </w:r>
      <w:proofErr w:type="spellEnd"/>
      <w:r>
        <w:rPr>
          <w:sz w:val="28"/>
          <w:szCs w:val="28"/>
        </w:rPr>
        <w:t>, беруть до уваги характер відмінностей між ними, ступінь їх важливості і суспільної цінності.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Способом прояву ґендерних особливостей дітей і відображенням рівня сформованості їх </w:t>
      </w:r>
      <w:proofErr w:type="spellStart"/>
      <w:r>
        <w:rPr>
          <w:sz w:val="28"/>
          <w:szCs w:val="28"/>
        </w:rPr>
        <w:t>ґендеру</w:t>
      </w:r>
      <w:proofErr w:type="spellEnd"/>
      <w:r>
        <w:rPr>
          <w:sz w:val="28"/>
          <w:szCs w:val="28"/>
        </w:rPr>
        <w:t xml:space="preserve"> є гра. В ній діти через виконання певних ролей </w:t>
      </w:r>
      <w:r>
        <w:rPr>
          <w:sz w:val="28"/>
          <w:szCs w:val="28"/>
        </w:rPr>
        <w:lastRenderedPageBreak/>
        <w:t xml:space="preserve">засвоюють уявлення про ґендерну поведінку. Хлопчики частіше вибирають для гри „силові сюжети” й у зв’язку з цим – відповідні ролі. Дівчаткам більше імпонують ігри з традиційними жіночими ролями. Гра дає змогу засвоїти не лише соціальні ролі, але й набути навички спілкування й взаємодії з однолітками протилежної статі. Традиційні ігри спрямовані на засвоєння дитиною її ґендерної ролі, яка набувається саме в ролевій грі (у дочки-матері, війну). 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процесі ґендерної соціалізації велику роль відіграють дитячі іграшки. Наші дослідження засвідчили, що іграшки та ігри допомагають дівчаткам вправлятися в тих видах діяльності, які стосуються підготовки до материнства і ведення домашнього господарства, розвивають уміння спілкуватися й навички співпраці. У хлопчиків все інакше: іграшки та ігри спонукають їх до винахідництва, перетворення оточуючого світу, допомагають розвинути навички, які пізніше ляжуть в основу просторових і математичних здібностей, заохочують незалежну, змагальну і лідерську поведінку.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процесі ґендерного виховання дітей молодшого шкільного віку мають враховуватись фізіологічні і пси</w:t>
      </w:r>
      <w:bookmarkStart w:id="0" w:name="_GoBack"/>
      <w:bookmarkEnd w:id="0"/>
      <w:r>
        <w:rPr>
          <w:sz w:val="28"/>
          <w:szCs w:val="28"/>
        </w:rPr>
        <w:t xml:space="preserve">хологічні особливості. Для нормального статевого  розвитку і встановлення правильних  стосунків між хлопчиками і дівчатками в цьому періоді важливо розвивати такі моральні якості, як соромливість, стриманість, готовність завжди надати допомогу тощо. 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Виховання дитини як представника певної статі розпочинається з першого року її життя. На статеву диференціацію дитини впливають не лише її анатомо-фізіологічні особливості, що визначаються статтю, а й соціально-психологічні фактори. Останні діють передусім через ті специфічні відтінки, а іноді і суттєві відмінності, що їх вносять дорослі у процес виховання дитини, враховуючи її статеву належність.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Виховання хлопчиків і виховання </w:t>
      </w:r>
      <w:proofErr w:type="spellStart"/>
      <w:r>
        <w:rPr>
          <w:sz w:val="28"/>
          <w:szCs w:val="28"/>
        </w:rPr>
        <w:t>дівчаток</w:t>
      </w:r>
      <w:proofErr w:type="spellEnd"/>
      <w:r>
        <w:rPr>
          <w:sz w:val="28"/>
          <w:szCs w:val="28"/>
        </w:rPr>
        <w:t xml:space="preserve"> мають свою специфіку. Специфіка чоловічого виховання виявляє себе, коли ми спостерігаємо за тим, як спілкуються батько з сином. Їх діалоги небагатослівні, по-чоловічому сухі. Батько ставиться до сина не як до дитини, а як до чоловіка і підносить його до </w:t>
      </w:r>
      <w:r>
        <w:rPr>
          <w:sz w:val="28"/>
          <w:szCs w:val="28"/>
        </w:rPr>
        <w:lastRenderedPageBreak/>
        <w:t>висоти такого звання, і в цьому, мабуть, полягає відмінність чоловічого виховання від жіночого, оскільки для матері ми завжди залишаємося дітьми. На жаль, педагоги не докладають особливих зусиль для того, щоб формувати не просто особистість людини, а особистість чоловіка і особистість жінки. У шкільному житті дитині досить часто трапляються такі суперечності: від неї вимагають виконання ролі чоловіка  чи жінки і, в той же час, педагог ігнорує її статеву належність у навчальному процесі. У результаті цього багато юнаків і дівчат виходять в доросле життя з достатньо туманними уявленнями про роль Чоловіка і Жінки в суспільстві.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шкільному житті ми часто зустрічаємось ще з одним протиріччям: коли сам педагог забуває про свою ґендерну роль, але, разом з тим, вимагає від учня виконання ролі представника своєї статі. Наприклад, часто можна спостерігати  таку картину: вчителька разом з дітьми їде в тролейбусі. Розсадивши дітей на вільні місця, сама стоїть. Коли один хлопчик наважується запропонувати їй місце, то у відповідь чує «Ні, ні, дякую, я </w:t>
      </w:r>
      <w:proofErr w:type="spellStart"/>
      <w:r>
        <w:rPr>
          <w:sz w:val="28"/>
          <w:szCs w:val="28"/>
        </w:rPr>
        <w:t>постою</w:t>
      </w:r>
      <w:proofErr w:type="spellEnd"/>
      <w:r>
        <w:rPr>
          <w:sz w:val="28"/>
          <w:szCs w:val="28"/>
        </w:rPr>
        <w:t>». Педагог, забуваючи про свою статеву належність, не дає можливості проявити себе хлопчику як чоловікові. Для того, щоб розв’язати суперечності, які трапляються у шкільному житті, педагог не має забувати про те, що, насамперед, він сам є яскравим прикладом у виконанні тих ролей, які він виконує на даний момент. Тому вчителеві необхідно пам’ятати самому і допомогти дитині в оволодінні змістом соціально-статевої ролі людини.</w:t>
      </w:r>
    </w:p>
    <w:p w:rsidR="00DB7B8E" w:rsidRP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Сьогодні виділяють ряд напрямків роботи з дітьми з доповнення й розширення  можливостей їх соціалізації, альтернативні суто </w:t>
      </w:r>
      <w:r w:rsidRPr="00DB7B8E">
        <w:rPr>
          <w:sz w:val="28"/>
          <w:szCs w:val="28"/>
        </w:rPr>
        <w:t>ґендерному підходу: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доповнення зон самореалізації дітей (наприклад, заохочення дівчат до занять спортом, а хлопчиків – до самообслуговування);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організація досвіду рівноправного співробітництва хлопчиків і </w:t>
      </w:r>
      <w:proofErr w:type="spellStart"/>
      <w:r>
        <w:rPr>
          <w:sz w:val="28"/>
          <w:szCs w:val="28"/>
        </w:rPr>
        <w:t>дівчаток</w:t>
      </w:r>
      <w:proofErr w:type="spellEnd"/>
      <w:r>
        <w:rPr>
          <w:sz w:val="28"/>
          <w:szCs w:val="28"/>
        </w:rPr>
        <w:t xml:space="preserve"> у спільній діяльності;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зняття традиційних культурних заборон на емоційне самовираження хлопчиків, заохочення їх до вираження почуттів;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створення з дівчатками досвіду </w:t>
      </w:r>
      <w:proofErr w:type="spellStart"/>
      <w:r>
        <w:rPr>
          <w:sz w:val="28"/>
          <w:szCs w:val="28"/>
        </w:rPr>
        <w:t>самозаохочення</w:t>
      </w:r>
      <w:proofErr w:type="spellEnd"/>
      <w:r>
        <w:rPr>
          <w:sz w:val="28"/>
          <w:szCs w:val="28"/>
        </w:rPr>
        <w:t xml:space="preserve"> й підвищення самооцінки (наприклад, технологія щоденника з фіксуванням успіхів);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створення умов для тренування </w:t>
      </w:r>
      <w:proofErr w:type="spellStart"/>
      <w:r>
        <w:rPr>
          <w:sz w:val="28"/>
          <w:szCs w:val="28"/>
        </w:rPr>
        <w:t>міжстатевої</w:t>
      </w:r>
      <w:proofErr w:type="spellEnd"/>
      <w:r>
        <w:rPr>
          <w:sz w:val="28"/>
          <w:szCs w:val="28"/>
        </w:rPr>
        <w:t xml:space="preserve"> чутливості (наприклад, через театралізацію, обмін ролями);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залучення обох батьків (а не лише матерів) до виховання дітей.</w:t>
      </w:r>
    </w:p>
    <w:p w:rsidR="00DB7B8E" w:rsidRDefault="00DB7B8E" w:rsidP="00DB7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ґендерний підхід у педагогіці й освіті – це індивідуальний підхід до прояву дитиною своєї ідентичності. Цей підхід дає людині більшу свободу вибору і самореалізації, допомагає бути достатньо гнучким і вміти використовувати різні можливості поведінки.</w:t>
      </w:r>
    </w:p>
    <w:p w:rsidR="00161665" w:rsidRDefault="00161665" w:rsidP="00DB7B8E">
      <w:pPr>
        <w:spacing w:line="360" w:lineRule="auto"/>
        <w:jc w:val="both"/>
      </w:pP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5D"/>
    <w:rsid w:val="00110824"/>
    <w:rsid w:val="00161665"/>
    <w:rsid w:val="0043205D"/>
    <w:rsid w:val="00445823"/>
    <w:rsid w:val="00CB4229"/>
    <w:rsid w:val="00D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002A"/>
  <w15:chartTrackingRefBased/>
  <w15:docId w15:val="{EDEEF15F-F2BC-460E-922A-F2D8E2E2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8E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uppressAutoHyphens/>
      <w:spacing w:after="240"/>
      <w:ind w:left="1850"/>
      <w:jc w:val="center"/>
      <w:outlineLvl w:val="0"/>
    </w:pPr>
    <w:rPr>
      <w:rFonts w:ascii="Arial" w:hAnsi="Arial"/>
      <w:b/>
      <w:caps/>
      <w:sz w:val="20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uppressAutoHyphens/>
      <w:spacing w:after="120"/>
      <w:ind w:firstLine="658"/>
      <w:outlineLvl w:val="2"/>
    </w:pPr>
    <w:rPr>
      <w:rFonts w:ascii="Arial" w:hAnsi="Arial"/>
      <w:i/>
      <w:sz w:val="18"/>
      <w:szCs w:val="22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suppressAutoHyphens/>
      <w:ind w:firstLine="560"/>
      <w:outlineLvl w:val="3"/>
    </w:pPr>
    <w:rPr>
      <w:b/>
      <w:i/>
      <w:sz w:val="20"/>
      <w:szCs w:val="22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pacing w:before="240" w:after="60"/>
      <w:outlineLvl w:val="4"/>
    </w:pPr>
    <w:rPr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pacing w:before="240" w:after="60"/>
      <w:outlineLvl w:val="5"/>
    </w:pPr>
    <w:rPr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uppressAutoHyphens/>
      <w:spacing w:before="240" w:after="60"/>
      <w:outlineLvl w:val="6"/>
    </w:pPr>
    <w:rPr>
      <w:rFonts w:asciiTheme="minorHAnsi" w:eastAsiaTheme="minorEastAsia" w:hAnsiTheme="minorHAns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ind w:left="720"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2024-09-06T20:17:00Z</dcterms:created>
  <dcterms:modified xsi:type="dcterms:W3CDTF">2024-09-06T20:17:00Z</dcterms:modified>
</cp:coreProperties>
</file>