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DCB3" w14:textId="7520CF27" w:rsidR="00E2260B" w:rsidRPr="00E2260B" w:rsidRDefault="00E2260B" w:rsidP="00E2260B">
      <w:pPr>
        <w:pStyle w:val="a3"/>
        <w:spacing w:before="11"/>
        <w:ind w:left="0" w:right="38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60B">
        <w:rPr>
          <w:rFonts w:ascii="Times New Roman" w:hAnsi="Times New Roman" w:cs="Times New Roman"/>
          <w:b/>
          <w:bCs/>
          <w:sz w:val="28"/>
          <w:szCs w:val="28"/>
        </w:rPr>
        <w:t>Лекція 3</w:t>
      </w:r>
    </w:p>
    <w:p w14:paraId="5DD6DC58" w14:textId="77777777" w:rsidR="00E2260B" w:rsidRPr="00E2260B" w:rsidRDefault="00E2260B" w:rsidP="00E2260B">
      <w:pPr>
        <w:pStyle w:val="a3"/>
        <w:spacing w:before="11"/>
        <w:ind w:left="0" w:right="38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7056C" w14:textId="4A7AA348" w:rsidR="00E2260B" w:rsidRPr="00E2260B" w:rsidRDefault="00C95C77" w:rsidP="00E2260B">
      <w:pPr>
        <w:pStyle w:val="a3"/>
        <w:spacing w:before="11"/>
        <w:ind w:left="0" w:right="38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C77">
        <w:rPr>
          <w:rFonts w:ascii="Times New Roman" w:hAnsi="Times New Roman" w:cs="Times New Roman"/>
          <w:b/>
          <w:bCs/>
          <w:sz w:val="28"/>
          <w:szCs w:val="28"/>
        </w:rPr>
        <w:t>Організація   ефективних</w:t>
      </w:r>
      <w:r w:rsidR="00E2260B" w:rsidRPr="00C95C77">
        <w:rPr>
          <w:rFonts w:ascii="Times New Roman" w:hAnsi="Times New Roman" w:cs="Times New Roman"/>
          <w:b/>
          <w:bCs/>
          <w:sz w:val="28"/>
          <w:szCs w:val="28"/>
        </w:rPr>
        <w:t xml:space="preserve">   орендних відносин</w:t>
      </w:r>
    </w:p>
    <w:p w14:paraId="48F0DFAE" w14:textId="77777777" w:rsidR="00E2260B" w:rsidRDefault="00E2260B" w:rsidP="00E2260B">
      <w:pPr>
        <w:pStyle w:val="a3"/>
        <w:spacing w:before="11"/>
        <w:ind w:left="0" w:right="38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44F6986" w14:textId="68DE0B1A" w:rsidR="00C95C77" w:rsidRPr="00E2260B" w:rsidRDefault="00C95C77" w:rsidP="00E2260B">
      <w:pPr>
        <w:pStyle w:val="a3"/>
        <w:spacing w:before="11"/>
        <w:ind w:left="0" w:right="3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C77">
        <w:rPr>
          <w:rFonts w:ascii="Times New Roman" w:hAnsi="Times New Roman" w:cs="Times New Roman"/>
          <w:sz w:val="28"/>
          <w:szCs w:val="28"/>
        </w:rPr>
        <w:t xml:space="preserve">   </w:t>
      </w:r>
      <w:r w:rsidR="00E2260B" w:rsidRPr="00C95C77">
        <w:rPr>
          <w:rFonts w:ascii="Times New Roman" w:hAnsi="Times New Roman" w:cs="Times New Roman"/>
          <w:sz w:val="28"/>
          <w:szCs w:val="28"/>
        </w:rPr>
        <w:t xml:space="preserve">Організація   ефективних   </w:t>
      </w:r>
      <w:r w:rsidRPr="00C95C77">
        <w:rPr>
          <w:rFonts w:ascii="Times New Roman" w:hAnsi="Times New Roman" w:cs="Times New Roman"/>
          <w:sz w:val="28"/>
          <w:szCs w:val="28"/>
        </w:rPr>
        <w:t>орендних відносин – це  ключове  пріоритетне  завдання стратегії розвитку аграрного сектору економіки України. У контексті цього особливої уваги потребує раціональна побудова системи оренди земель сільськогосподарського призначення. Недосконалість економічного механізму</w:t>
      </w:r>
      <w:r w:rsidRPr="00E2260B">
        <w:rPr>
          <w:rFonts w:ascii="Times New Roman" w:hAnsi="Times New Roman" w:cs="Times New Roman"/>
          <w:sz w:val="28"/>
          <w:szCs w:val="28"/>
        </w:rPr>
        <w:t xml:space="preserve"> </w:t>
      </w:r>
      <w:r w:rsidRPr="00C95C77">
        <w:rPr>
          <w:rFonts w:ascii="Times New Roman" w:hAnsi="Times New Roman" w:cs="Times New Roman"/>
          <w:sz w:val="28"/>
          <w:szCs w:val="28"/>
        </w:rPr>
        <w:t>регулювання орендних земельних відносин на державному і регіональному рівнях, відсутність цілеспрямованості   їх   реформування   загострили багато проблем, пов'язаних з погіршенням стану ґрунтів, а саме: недотримання системи землеробства і технологічних процесів вирощування сільськогосподарських культур; скоро</w:t>
      </w:r>
      <w:r w:rsidRPr="00E2260B">
        <w:rPr>
          <w:rFonts w:ascii="Times New Roman" w:hAnsi="Times New Roman" w:cs="Times New Roman"/>
          <w:sz w:val="28"/>
          <w:szCs w:val="28"/>
        </w:rPr>
        <w:t>чення   застосування   у   землеробстві   органічних і мінеральних добрив, що зумовило дефіцит балансу   поживних   речовин;   виснаження   ґрунтів і зниження продуктивності ріллі; призупинення робіт з осушення та зрошення земель, реконструкції      діючих   меліоративних   систем,   вапнування і гіпсування ґрунтів тощо. Тому одним із пріоритетних напрямів   розвитку   земельних   відносин у нинішніх умовах є удосконалення орендних відносин, які є на сьогодні важливою частиною економічного механізму, що формує результативність діяльності сільськогосподарських підприємств.</w:t>
      </w:r>
    </w:p>
    <w:p w14:paraId="25903F21" w14:textId="2B09E8E7" w:rsidR="00C95C77" w:rsidRPr="00E2260B" w:rsidRDefault="00C95C77" w:rsidP="00E2260B">
      <w:pPr>
        <w:pStyle w:val="a3"/>
        <w:ind w:left="0" w:right="3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60B">
        <w:rPr>
          <w:rFonts w:ascii="Times New Roman" w:hAnsi="Times New Roman" w:cs="Times New Roman"/>
          <w:sz w:val="28"/>
          <w:szCs w:val="28"/>
        </w:rPr>
        <w:t xml:space="preserve">Розвиток орендних земельних відносин сільськогосподарських підприємств є предметом досліджень широкого кола вітчизняних науковців, таких як:  Д.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Бабміндра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 В.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Будзяк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В. Галушко, Ю.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Д. Добряк, О. Єрмаков, М. 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Калінчик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  С.    Кваша,    В.  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Месель-Веселяк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А. Мірошниченко,  Л.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Новаковський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 П.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Саблук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А. Третяк, В.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Трегобчук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 М.  Федоров,  М.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Хвесик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Шкільов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та багатьох інших дослідників. Позитивно оцінюючи надбання цих вчених, акцентуємо увагу на те, що низка питань щодо формування та регулювання орендних земельних відносин у сільськогосподарських підприємствах унаслідок  нестабільності  ринкового  середовища в країні потребує подальшого поглибленого вивчення і вирішення.</w:t>
      </w:r>
    </w:p>
    <w:p w14:paraId="29D29BCC" w14:textId="631B1F10" w:rsidR="00C95C77" w:rsidRPr="00E2260B" w:rsidRDefault="00C95C77" w:rsidP="00E2260B">
      <w:pPr>
        <w:pStyle w:val="a3"/>
        <w:ind w:left="0" w:right="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sz w:val="28"/>
          <w:szCs w:val="28"/>
        </w:rPr>
        <w:t>Р</w:t>
      </w:r>
      <w:r w:rsidRPr="00E2260B">
        <w:rPr>
          <w:rFonts w:ascii="Times New Roman" w:hAnsi="Times New Roman" w:cs="Times New Roman"/>
          <w:sz w:val="28"/>
          <w:szCs w:val="28"/>
        </w:rPr>
        <w:t>озкрити економічну і правову   сутність   оренди   землі   та   визначити    організаційно-економічні     чинники     впливу на розвиток орендних земельних відносин сільськогосподарських підприємств, що сприятиме створенню відповідних умов для ефективного господарювання</w:t>
      </w:r>
    </w:p>
    <w:p w14:paraId="0FAFAD8A" w14:textId="36389F04" w:rsidR="00C95C77" w:rsidRPr="00E2260B" w:rsidRDefault="00C95C77" w:rsidP="00E2260B">
      <w:pPr>
        <w:pStyle w:val="a3"/>
        <w:ind w:left="0" w:right="3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sz w:val="28"/>
          <w:szCs w:val="28"/>
        </w:rPr>
        <w:t xml:space="preserve">Серцевиною аграрної реформи є реформування земельних відносин у сільськогосподарському виробництві. Трансформація земельних відносин завжди нале- жала до найскладніших проблем і найважливіших напрямів реалізації аграрної політики. Це зумовлено реформуванням питань власності на землю, тобто володіння, користування і розпорядження земельними ресурсами як основним засобом ви-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робництва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в сільському господарстві.</w:t>
      </w:r>
    </w:p>
    <w:p w14:paraId="02E4B23E" w14:textId="112DB03A" w:rsidR="00C95C77" w:rsidRPr="00E2260B" w:rsidRDefault="00C95C77" w:rsidP="00E2260B">
      <w:pPr>
        <w:pStyle w:val="a3"/>
        <w:ind w:left="0" w:right="3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sz w:val="28"/>
          <w:szCs w:val="28"/>
        </w:rPr>
        <w:t xml:space="preserve">Нинішня земельна реформа в Україні – четверта за останні 150  років.  Земельна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рефор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на регіональному рівні і в масштабах усієї країни справила істотний вплив на створення нової багатоукладної економіки. Значна частина</w:t>
      </w:r>
      <w:r w:rsidRPr="00E2260B">
        <w:rPr>
          <w:rFonts w:ascii="Times New Roman" w:hAnsi="Times New Roman" w:cs="Times New Roman"/>
          <w:sz w:val="28"/>
          <w:szCs w:val="28"/>
        </w:rPr>
        <w:t xml:space="preserve"> </w:t>
      </w:r>
      <w:r w:rsidRPr="00E2260B">
        <w:rPr>
          <w:rFonts w:ascii="Times New Roman" w:hAnsi="Times New Roman" w:cs="Times New Roman"/>
          <w:sz w:val="28"/>
          <w:szCs w:val="28"/>
        </w:rPr>
        <w:t xml:space="preserve">підприємств АПК набула нових організаційно- правових форм, що дало змогу </w:t>
      </w:r>
      <w:r w:rsidRPr="00E2260B">
        <w:rPr>
          <w:rFonts w:ascii="Times New Roman" w:hAnsi="Times New Roman" w:cs="Times New Roman"/>
          <w:sz w:val="28"/>
          <w:szCs w:val="28"/>
        </w:rPr>
        <w:lastRenderedPageBreak/>
        <w:t xml:space="preserve">розширити їм свої права і повноваження в самостійному виборі господарської діяльності, визначенні напрямів, структур і обсягів виробництва. Проте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заснов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нових господарських структур не можуть ефективно    вести    виробництво,    підтримувати і оновлювати матеріальну базу і соціальну інфраструктуру.</w:t>
      </w:r>
    </w:p>
    <w:p w14:paraId="1A96A60E" w14:textId="77777777" w:rsidR="00C95C77" w:rsidRPr="00E2260B" w:rsidRDefault="00C95C77" w:rsidP="00E2260B">
      <w:pPr>
        <w:pStyle w:val="a3"/>
        <w:ind w:left="0" w:right="10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sz w:val="28"/>
          <w:szCs w:val="28"/>
        </w:rPr>
        <w:t xml:space="preserve">Трансформація земельних відносин до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кових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умов господарювання поряд з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довготри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валим проведенням земельної реформи  зумови-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виникнення невирішених проблем у системі управління земельними відносинами. Унаслідок проведення земельної реформи та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запровад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ринкових принципів господарювання в аграрній сфері  відбулися  істотні  зміни,  зокрема у земельних орендних відносинах. У сільському господарстві орендні земельні відносини стали основними елементами у формуванні нових умов господарювання. Оренда землі набула іншого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рактеру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та змісту.</w:t>
      </w:r>
    </w:p>
    <w:p w14:paraId="206D1D0A" w14:textId="77777777" w:rsidR="00C95C77" w:rsidRPr="00E2260B" w:rsidRDefault="00C95C77" w:rsidP="00E2260B">
      <w:pPr>
        <w:pStyle w:val="a3"/>
        <w:ind w:left="0" w:right="10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sz w:val="28"/>
          <w:szCs w:val="28"/>
        </w:rPr>
        <w:t xml:space="preserve">Властивості земельних ресурсів можна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вва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жати унікальними, і саме вони визначають зміст земельних відносин в усіх основних складових. Зокрема, ці властивості пояснюють необхідність суворого контролю з боку суспільства за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тером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і результатами використання земель, виз-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начають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основні  принципи  державної  політики у  сфері  аграрного  землекористування  –  охорони і захисту земель як складової частини 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природ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>- ного середовища, забезпечення їх збереження, відтворення і поліпшення якісних характеристик сільськогосподарських угідь [4].</w:t>
      </w:r>
    </w:p>
    <w:p w14:paraId="59609621" w14:textId="77777777" w:rsidR="00C95C77" w:rsidRPr="00E2260B" w:rsidRDefault="00C95C77" w:rsidP="00E2260B">
      <w:pPr>
        <w:pStyle w:val="a3"/>
        <w:ind w:left="0" w:right="108" w:firstLine="680"/>
        <w:jc w:val="both"/>
        <w:rPr>
          <w:rFonts w:ascii="Times New Roman" w:hAnsi="Times New Roman" w:cs="Times New Roman"/>
          <w:sz w:val="28"/>
          <w:szCs w:val="28"/>
        </w:rPr>
        <w:sectPr w:rsidR="00C95C77" w:rsidRPr="00E2260B" w:rsidSect="00C95C77">
          <w:pgSz w:w="11910" w:h="16840"/>
          <w:pgMar w:top="1540" w:right="1020" w:bottom="920" w:left="1020" w:header="708" w:footer="708" w:gutter="0"/>
          <w:cols w:space="126"/>
        </w:sectPr>
      </w:pPr>
      <w:r w:rsidRPr="00E2260B">
        <w:rPr>
          <w:rFonts w:ascii="Times New Roman" w:hAnsi="Times New Roman" w:cs="Times New Roman"/>
          <w:sz w:val="28"/>
          <w:szCs w:val="28"/>
        </w:rPr>
        <w:t xml:space="preserve">У цілому земельні відносини слід розуміти як суспільні відносини щодо володіння,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розпо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рядження й управління землею. Так, М. Федоров трактує земельні відносини як «суспільні відносини щодо володіння», розпорядження і управління землею на державному, регіональному,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госпо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дарському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і внутрішньогосподарському рівнях як об'єктом господарювання і  </w:t>
      </w:r>
    </w:p>
    <w:p w14:paraId="14FFCAB9" w14:textId="77777777" w:rsidR="00C95C77" w:rsidRPr="00E2260B" w:rsidRDefault="00C95C77" w:rsidP="00E2260B">
      <w:pPr>
        <w:pStyle w:val="a3"/>
        <w:ind w:left="0" w:right="10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sz w:val="28"/>
          <w:szCs w:val="28"/>
        </w:rPr>
        <w:t>засобом  виробництва у сільському господарстві» [6].</w:t>
      </w:r>
    </w:p>
    <w:p w14:paraId="3410D6A0" w14:textId="77777777" w:rsidR="00C95C77" w:rsidRPr="00E2260B" w:rsidRDefault="00C95C77" w:rsidP="00E2260B">
      <w:pPr>
        <w:pStyle w:val="a3"/>
        <w:ind w:left="0" w:right="10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260B">
        <w:rPr>
          <w:rFonts w:ascii="Times New Roman" w:hAnsi="Times New Roman" w:cs="Times New Roman"/>
          <w:sz w:val="28"/>
          <w:szCs w:val="28"/>
        </w:rPr>
        <w:t xml:space="preserve">Слід зауважити, що відповідно до Конституції України земля виступає основним національним багатством, що перебуває під осо-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бливою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охороною держави. Право власності на землю гарантується законодавством. Це право набувається і реалізується громадянами, юри- </w:t>
      </w:r>
      <w:proofErr w:type="spellStart"/>
      <w:r w:rsidRPr="00E2260B">
        <w:rPr>
          <w:rFonts w:ascii="Times New Roman" w:hAnsi="Times New Roman" w:cs="Times New Roman"/>
          <w:sz w:val="28"/>
          <w:szCs w:val="28"/>
        </w:rPr>
        <w:t>дичними</w:t>
      </w:r>
      <w:proofErr w:type="spellEnd"/>
      <w:r w:rsidRPr="00E2260B">
        <w:rPr>
          <w:rFonts w:ascii="Times New Roman" w:hAnsi="Times New Roman" w:cs="Times New Roman"/>
          <w:sz w:val="28"/>
          <w:szCs w:val="28"/>
        </w:rPr>
        <w:t xml:space="preserve"> особами та державою винятково відповідно до закону. Право приватної власності трактується як непорушне. У той же час</w:t>
      </w:r>
    </w:p>
    <w:p w14:paraId="100F51DC" w14:textId="77777777" w:rsidR="00C95C77" w:rsidRPr="00C95C77" w:rsidRDefault="00C95C77" w:rsidP="00E2260B">
      <w:pPr>
        <w:widowControl w:val="0"/>
        <w:autoSpaceDE w:val="0"/>
        <w:autoSpaceDN w:val="0"/>
        <w:spacing w:before="11"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Земельним кодексом України виз-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начено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, що земельні відносини – це суспільні відносини щодо володіння, користування і розпорядження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зем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лею, де суб’єктами таких відносин є громадяни, юридичні особи, органи місцевого самоврядування та органи державної влади,  а  об’єктами  –  землі в межах території України, земельні ділянки та права на  них,  у  тому  числі на  земельні  частки  (паї).  Ці  відносини є результатом суспільного розвитку, ви-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користання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і охорони земель, розвитку форм власності і господарювання [3].</w:t>
      </w:r>
    </w:p>
    <w:p w14:paraId="696C5956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sectPr w:rsidR="00C95C77" w:rsidRPr="00E2260B" w:rsidSect="00C95C77">
          <w:type w:val="continuous"/>
          <w:pgSz w:w="11910" w:h="16840"/>
          <w:pgMar w:top="1540" w:right="1020" w:bottom="920" w:left="1020" w:header="708" w:footer="708" w:gutter="0"/>
          <w:cols w:space="126"/>
        </w:sect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Вітчизняні економісти-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аграрни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ки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також вважають за необхідне на- голосити на притаманних лише землі властивостях об'єкта природи, її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цінно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сті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, природному походженні, просторо- </w:t>
      </w:r>
    </w:p>
    <w:p w14:paraId="1BD79381" w14:textId="77777777" w:rsidR="00C95C77" w:rsidRPr="00C95C77" w:rsidRDefault="00C95C77" w:rsidP="00E2260B">
      <w:pPr>
        <w:widowControl w:val="0"/>
        <w:autoSpaceDE w:val="0"/>
        <w:autoSpaceDN w:val="0"/>
        <w:spacing w:before="1"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br w:type="column"/>
      </w:r>
    </w:p>
    <w:p w14:paraId="3842879E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noProof/>
          <w:kern w:val="0"/>
          <w:sz w:val="28"/>
          <w:szCs w:val="28"/>
          <w14:ligatures w14:val="none"/>
        </w:rPr>
        <w:lastRenderedPageBreak/>
        <w:drawing>
          <wp:inline distT="0" distB="0" distL="0" distR="0" wp14:anchorId="4B505991" wp14:editId="6488DAFA">
            <wp:extent cx="3562350" cy="319087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8460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35391FAA" w14:textId="77777777" w:rsidR="00E2260B" w:rsidRDefault="00E2260B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  <w:sectPr w:rsidR="00E2260B" w:rsidSect="00C95C77">
          <w:type w:val="continuous"/>
          <w:pgSz w:w="11910" w:h="16840"/>
          <w:pgMar w:top="1540" w:right="1020" w:bottom="920" w:left="1020" w:header="708" w:footer="708" w:gutter="0"/>
          <w:cols w:num="2" w:space="720" w:equalWidth="0">
            <w:col w:w="3843" w:space="126"/>
            <w:col w:w="5901"/>
          </w:cols>
        </w:sectPr>
      </w:pPr>
    </w:p>
    <w:p w14:paraId="643837C1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Рис. 1. </w:t>
      </w: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Класифікація чинників впливу на розвиток земельно- орендних відносин у сільськогосподарських підприємствах.</w:t>
      </w:r>
    </w:p>
    <w:p w14:paraId="2D2F0A7A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вій обмеженості та  непорушності.  Так, О.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Гуторов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вважає, що земля включає економічну систему,  в  якій  перебуває та чи інша земельна ділянка,  а  саме: весь комплекс довкілля, природних</w:t>
      </w:r>
    </w:p>
    <w:p w14:paraId="736926B6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40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18B9BADF" w14:textId="7277A7B1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right="40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умов виробництва, які визначають ріст і 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розви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ток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рослин, умови сільськогосподарського та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ін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шого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використання земель [2].</w:t>
      </w:r>
    </w:p>
    <w:p w14:paraId="2842B56F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Розглядаючи визначення понять «оренда» і</w:t>
      </w:r>
    </w:p>
    <w:p w14:paraId="2237348C" w14:textId="77777777" w:rsidR="00C95C77" w:rsidRPr="00C95C77" w:rsidRDefault="00C95C77" w:rsidP="00E2260B">
      <w:pPr>
        <w:widowControl w:val="0"/>
        <w:autoSpaceDE w:val="0"/>
        <w:autoSpaceDN w:val="0"/>
        <w:spacing w:before="57"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«орендні відносини» потрібно  відзначити, що це не тотожні поняття, адже орендні відносини є ширшим поняттям,  аніж  оренда.  На  нашу  дум- ку, оренда землі – це специфічна форма земле- користування, в основу  якої  покладено 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строко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ве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, платне володіння та користування земельною ділянкою сільськогосподарського   призначення на основі відповідного договору, що передбачає передачу її власником орендареві, який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відпові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дає вимогам, визначеним законодавством, для здійснення підприємницької діяльності за умови раціонального використання природних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власти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востей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земельних ресурсів [4].</w:t>
      </w:r>
    </w:p>
    <w:p w14:paraId="3AE7B4CE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right="39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Варто зауважити, що на  розвиток  оренд- них земельних відносин у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сільськогосподар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ських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підприємствах впливають наступні чин-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ники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: фізичні, організаційні, політичні та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еконо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мічні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(рис. 1) [1].</w:t>
      </w:r>
    </w:p>
    <w:p w14:paraId="6610036C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Стосовно використання земельної ділянки, укладання договору на конкурсній основі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реко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мендується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брати до уваги місце розташування, конфігурацію і характер рельєфу земельної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ділян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ки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, термін договору оренди, чинні обмеження і обтяження.</w:t>
      </w:r>
    </w:p>
    <w:p w14:paraId="2FEDA924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109" w:firstLine="68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2260B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9AF0D3B" wp14:editId="34E2DB57">
            <wp:extent cx="5762625" cy="3188335"/>
            <wp:effectExtent l="0" t="0" r="9525" b="0"/>
            <wp:docPr id="275524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B0C2D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109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60B">
        <w:rPr>
          <w:rFonts w:ascii="Times New Roman" w:eastAsia="Calibri" w:hAnsi="Times New Roman" w:cs="Times New Roman"/>
          <w:b/>
          <w:sz w:val="28"/>
          <w:szCs w:val="28"/>
        </w:rPr>
        <w:t xml:space="preserve">Рис. 1. </w:t>
      </w:r>
      <w:r w:rsidRPr="00E2260B">
        <w:rPr>
          <w:rFonts w:ascii="Times New Roman" w:eastAsia="Calibri" w:hAnsi="Times New Roman" w:cs="Times New Roman"/>
          <w:sz w:val="28"/>
          <w:szCs w:val="28"/>
        </w:rPr>
        <w:t>Класифікація чинників впливу на розвиток земельно- орендних відносин у сільськогосподарських підприємствах</w:t>
      </w:r>
    </w:p>
    <w:p w14:paraId="0F60361B" w14:textId="3A4376A3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right="109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відносин характеризують відносини власності на них. Ці чинники виявляються через дії органів державної влади, яка  визначає  форми  </w:t>
      </w: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lastRenderedPageBreak/>
        <w:t>власності на землю, механізм набуття права власності відповідними суб’єктами господарювання тощо.</w:t>
      </w:r>
    </w:p>
    <w:p w14:paraId="7908648D" w14:textId="77777777" w:rsidR="00C95C77" w:rsidRPr="00C95C77" w:rsidRDefault="00C95C77" w:rsidP="00E2260B">
      <w:pPr>
        <w:widowControl w:val="0"/>
        <w:autoSpaceDE w:val="0"/>
        <w:autoSpaceDN w:val="0"/>
        <w:spacing w:after="0" w:line="240" w:lineRule="auto"/>
        <w:ind w:right="109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Економічні чинники в системі орендних земельних відносин належать до організації раціонального використання землі. Система орендних відносин передбачає набуття права користування землею та перехід цього права від одного користувача до іншого. Саме у створенні умов для ефективного використання земельних ресурсів й полягає значення економічної функції земельно-орендних відносин.</w:t>
      </w:r>
    </w:p>
    <w:p w14:paraId="52065EA5" w14:textId="77777777" w:rsidR="00C95C77" w:rsidRPr="00C95C77" w:rsidRDefault="00C95C77" w:rsidP="00E2260B">
      <w:pPr>
        <w:widowControl w:val="0"/>
        <w:tabs>
          <w:tab w:val="left" w:pos="1065"/>
          <w:tab w:val="left" w:pos="2623"/>
        </w:tabs>
        <w:autoSpaceDE w:val="0"/>
        <w:autoSpaceDN w:val="0"/>
        <w:spacing w:after="0" w:line="240" w:lineRule="auto"/>
        <w:ind w:right="109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Стосовно організаційних чинників земель- них орендних відносин, то маються на увазі принцип визначення орендної плати (норматив- ний, контрактивний, ринковий); термін оренди; укладення договору оренди на конкурсній основі; обмеження та обтяження щодо використання земельної ділянки; форма орендної плати;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укла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дення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договору з об’єднанням власників земель- них паїв; доходи орендодавців, рівень заробітної плати</w:t>
      </w: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ab/>
        <w:t>працівників</w:t>
      </w: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ab/>
        <w:t>сільськогосподарських підприємств.</w:t>
      </w:r>
    </w:p>
    <w:p w14:paraId="5969CFA9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110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Фізичні чинники пов'язані з природними характеристиками земельної ділянки, охоплю- </w:t>
      </w:r>
      <w:proofErr w:type="spellStart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ють</w:t>
      </w:r>
      <w:proofErr w:type="spellEnd"/>
      <w:r w:rsidRPr="00C95C77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економічні характеристики середовища,</w:t>
      </w:r>
    </w:p>
    <w:p w14:paraId="4EAED9E2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110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4FD7A5DC" w14:textId="77777777" w:rsidR="00C95C77" w:rsidRPr="00980C25" w:rsidRDefault="00C95C77" w:rsidP="00E2260B">
      <w:pPr>
        <w:widowControl w:val="0"/>
        <w:autoSpaceDE w:val="0"/>
        <w:autoSpaceDN w:val="0"/>
        <w:spacing w:before="11" w:after="0" w:line="240" w:lineRule="auto"/>
        <w:ind w:right="53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в якому здійснює свою господарську діяльність аграрне підприємство, його економічний стан, понесені ним витрати на поліпшення сільськогосподарських земель. До них належать: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розташуван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ня, конфігурація, розмір земельного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ма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- сиву; рельєф; характеристика ґрунтів; вид угідь тощо.</w:t>
      </w:r>
    </w:p>
    <w:p w14:paraId="1F02C5E9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Розглядаючи  визначення  понять</w:t>
      </w:r>
    </w:p>
    <w:p w14:paraId="486F3F14" w14:textId="77777777" w:rsidR="00C95C77" w:rsidRPr="00E2260B" w:rsidRDefault="00C95C77" w:rsidP="00E2260B">
      <w:pPr>
        <w:widowControl w:val="0"/>
        <w:tabs>
          <w:tab w:val="left" w:pos="1504"/>
        </w:tabs>
        <w:autoSpaceDE w:val="0"/>
        <w:autoSpaceDN w:val="0"/>
        <w:spacing w:before="59"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«оренда» і «орендні   відносини»   вар- то зазначити, що категорія «орендні відносини» відображає властивості системи</w:t>
      </w: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ab/>
        <w:t>господарсько-договірних</w:t>
      </w:r>
    </w:p>
    <w:p w14:paraId="6ED3CE62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Хоча оренда землі стає результатом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добровідносин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, пов'язаних з реалізацією майнових прав між   фізичними,   юридичними   особами   та є абстракцією реальних фактів функціонування механізму оренди як форми подальшого розвитку відносин власності.</w:t>
      </w:r>
    </w:p>
    <w:p w14:paraId="4EA189ED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Так, на думку П.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Саблука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, орендні земельні відносини дають змогу найповніше реалізувати ідею активного заохочення людини до творчої праці [5]. М. Федоров відзначає, що головним в орендних відносинах слід вважати спонукальні мотиви договірних сторін, оскільки вони зацікавлені в одержанні якнайбільшого зиску з оренди землі: орендодавець – одержати якомога вищу орендну плату, зберегти при цьому якість земельної ділянки; орендар – одержувати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макси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мальний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урожай протягом тривалого періоду [6].</w:t>
      </w:r>
    </w:p>
    <w:p w14:paraId="26351A8C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Важливо зазначити, що  під  час 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проведен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ня земельної реформи відбувається зміна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суб’єк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та привласнення земельної ренти у сільському господарстві. Якщо раніше (за умов виключно державної власності на землю) суб’єктом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прив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ласнення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земельної ренти була держава, яка ви- лучала її через ціновий механізм та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оподаткуван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ня товаровиробників, то в нових умовах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госпо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дарювання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на селі земельна рента (за винятком незначної її частини у вигляді земельного податку згідно із Законом України «Про плату </w:t>
      </w: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lastRenderedPageBreak/>
        <w:t xml:space="preserve">за землю») належатиме власнику землі, тобто громадянину, який отримав чи придбав її у власність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відповід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- но до Закону, незалежно від того, чи він сам її обробляє, чи передає її в оренду.</w:t>
      </w:r>
      <w:r w:rsidRPr="00E2260B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E483158" w14:textId="77777777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вільної співпраці орендарів та орендодавців, у відносинах, що складаються навколо неї,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винят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ково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важливою можна вважати участь держави. Держава покликана як формувати норматив- но-правову  базу,  так  і  здійснювати  контроль  за її дотриманням у процесах оренди землі,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регулю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вання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її тощо. На цій основі об’єктивно необхідне усвідомлення того, що в земельно-орендних від-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носинах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беруть участь не два суб’єкти – орендарі та орендодавці, як це трактується зараз, а три суб’єкти: з одного боку, держава як фундатор і гарант таких відносин,  а  з  іншого  – 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безпосеред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- ні учасники земельно-орендних відносин, тобто орендодавці та орендарі. Схему їхньої взаємодії у процесах оренди землі наведено на рис. 2.</w:t>
      </w:r>
    </w:p>
    <w:p w14:paraId="53CED95B" w14:textId="5D9BC426" w:rsidR="00C95C77" w:rsidRPr="00E2260B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3BC0BCB9" wp14:editId="6C14D3A8">
            <wp:extent cx="3533775" cy="1495425"/>
            <wp:effectExtent l="0" t="0" r="9525" b="9525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674E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  <w:t xml:space="preserve">Рис. 2. </w:t>
      </w: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Схема організаційного забезпечення оренди землі</w:t>
      </w:r>
    </w:p>
    <w:p w14:paraId="4E18879D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right="38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1299D78F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right="109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  <w:t xml:space="preserve">Висновки. </w:t>
      </w: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Проведене дослідження дає підстави стверджувати, що функція держави у земельно-орендних відносинах, а  також  у 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захи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сті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інтересів власників земельних ділянок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повин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на бути визначальною. Способом ефективного здійснення таких функцій держави має стати послідовний моніторинг земельно-орендних від-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носин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уповноваженими на це державними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інсти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туціями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.</w:t>
      </w:r>
    </w:p>
    <w:p w14:paraId="32EF5394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right="109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Орендні земельні відносини можуть дати бажаний ефект за таких умов: державної,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фінан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сової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, правової та організаційної підтримки;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со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ціальної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справедливості; впевненості селянина у стабільності аграрної політики держави, а також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надежної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законодавчої бази.</w:t>
      </w:r>
    </w:p>
    <w:p w14:paraId="22662B4F" w14:textId="77777777" w:rsidR="00C95C77" w:rsidRPr="00980C25" w:rsidRDefault="00C95C77" w:rsidP="00E2260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449847AC" w14:textId="77777777" w:rsidR="00C95C77" w:rsidRPr="00980C25" w:rsidRDefault="00C95C77" w:rsidP="00E2260B">
      <w:pPr>
        <w:widowControl w:val="0"/>
        <w:autoSpaceDE w:val="0"/>
        <w:autoSpaceDN w:val="0"/>
        <w:spacing w:before="99" w:after="0" w:line="240" w:lineRule="auto"/>
        <w:ind w:right="615" w:firstLine="680"/>
        <w:jc w:val="both"/>
        <w:outlineLvl w:val="0"/>
        <w:rPr>
          <w:rFonts w:ascii="Times New Roman" w:eastAsia="Cambria" w:hAnsi="Times New Roman" w:cs="Times New Roman"/>
          <w:b/>
          <w:bCs/>
          <w:kern w:val="0"/>
          <w:sz w:val="28"/>
          <w:szCs w:val="28"/>
          <w14:ligatures w14:val="none"/>
        </w:rPr>
      </w:pPr>
      <w:r w:rsidRPr="00980C25">
        <w:rPr>
          <w:rFonts w:ascii="Times New Roman" w:eastAsia="Cambria" w:hAnsi="Times New Roman" w:cs="Times New Roman"/>
          <w:b/>
          <w:bCs/>
          <w:kern w:val="0"/>
          <w:sz w:val="28"/>
          <w:szCs w:val="28"/>
          <w14:ligatures w14:val="none"/>
        </w:rPr>
        <w:t>Перелік літератури та використаних джерел</w:t>
      </w:r>
    </w:p>
    <w:p w14:paraId="21026063" w14:textId="77777777" w:rsidR="00C95C77" w:rsidRPr="00980C25" w:rsidRDefault="00C95C77" w:rsidP="00E2260B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spacing w:before="188" w:after="0" w:line="240" w:lineRule="auto"/>
        <w:ind w:left="0" w:right="110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Богач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Л. В. Організаційно-економічна оцінка функціонування аграрних формувань на основі оренди сільськогосподарських земель / Л.В.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Богач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// Науковий вісник Національного університету біоресурсів і природокористування України. – 20</w:t>
      </w:r>
      <w:r w:rsidRPr="00E2260B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2</w:t>
      </w: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4. –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Вип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. 200. – С. 41–47.</w:t>
      </w:r>
    </w:p>
    <w:p w14:paraId="733873B4" w14:textId="77777777" w:rsidR="00C95C77" w:rsidRPr="00980C25" w:rsidRDefault="00C95C77" w:rsidP="00E2260B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spacing w:before="116" w:after="0" w:line="240" w:lineRule="auto"/>
        <w:ind w:left="0" w:right="111" w:firstLine="68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Гуторов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О. І. Проблеми сталого землекористування у сільському господарстві: теорія, методологія, практика: [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моногра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фія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] / О. І. </w:t>
      </w:r>
      <w:proofErr w:type="spellStart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Гуторов</w:t>
      </w:r>
      <w:proofErr w:type="spellEnd"/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. – Х.: 201</w:t>
      </w:r>
      <w:r w:rsidRPr="00E2260B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9</w:t>
      </w: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. – 405 с.</w:t>
      </w:r>
    </w:p>
    <w:p w14:paraId="5C6E788A" w14:textId="3258F55E" w:rsidR="00C95C77" w:rsidRPr="00E2260B" w:rsidRDefault="00C95C77" w:rsidP="00007307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spacing w:before="99" w:after="0" w:line="240" w:lineRule="auto"/>
        <w:ind w:left="0" w:right="3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0C2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Земельний кодекс України № 2768-ІІІ від 25 жовтня 2001 року із змінами і доповненнями // Відомості Верховної Ради України. – 2002. – № 3. </w:t>
      </w:r>
    </w:p>
    <w:sectPr w:rsidR="00C95C77" w:rsidRPr="00E2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8119A"/>
    <w:multiLevelType w:val="hybridMultilevel"/>
    <w:tmpl w:val="E552F90C"/>
    <w:lvl w:ilvl="0" w:tplc="C54EE634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uk-UA" w:eastAsia="en-US" w:bidi="ar-SA"/>
      </w:rPr>
    </w:lvl>
    <w:lvl w:ilvl="1" w:tplc="F306E5C4">
      <w:numFmt w:val="bullet"/>
      <w:lvlText w:val="•"/>
      <w:lvlJc w:val="left"/>
      <w:pPr>
        <w:ind w:left="1598" w:hanging="284"/>
      </w:pPr>
      <w:rPr>
        <w:lang w:val="uk-UA" w:eastAsia="en-US" w:bidi="ar-SA"/>
      </w:rPr>
    </w:lvl>
    <w:lvl w:ilvl="2" w:tplc="1F382D2A">
      <w:numFmt w:val="bullet"/>
      <w:lvlText w:val="•"/>
      <w:lvlJc w:val="left"/>
      <w:pPr>
        <w:ind w:left="2517" w:hanging="284"/>
      </w:pPr>
      <w:rPr>
        <w:lang w:val="uk-UA" w:eastAsia="en-US" w:bidi="ar-SA"/>
      </w:rPr>
    </w:lvl>
    <w:lvl w:ilvl="3" w:tplc="15360092">
      <w:numFmt w:val="bullet"/>
      <w:lvlText w:val="•"/>
      <w:lvlJc w:val="left"/>
      <w:pPr>
        <w:ind w:left="3435" w:hanging="284"/>
      </w:pPr>
      <w:rPr>
        <w:lang w:val="uk-UA" w:eastAsia="en-US" w:bidi="ar-SA"/>
      </w:rPr>
    </w:lvl>
    <w:lvl w:ilvl="4" w:tplc="5D38A77E">
      <w:numFmt w:val="bullet"/>
      <w:lvlText w:val="•"/>
      <w:lvlJc w:val="left"/>
      <w:pPr>
        <w:ind w:left="4354" w:hanging="284"/>
      </w:pPr>
      <w:rPr>
        <w:lang w:val="uk-UA" w:eastAsia="en-US" w:bidi="ar-SA"/>
      </w:rPr>
    </w:lvl>
    <w:lvl w:ilvl="5" w:tplc="2500D0B6">
      <w:numFmt w:val="bullet"/>
      <w:lvlText w:val="•"/>
      <w:lvlJc w:val="left"/>
      <w:pPr>
        <w:ind w:left="5272" w:hanging="284"/>
      </w:pPr>
      <w:rPr>
        <w:lang w:val="uk-UA" w:eastAsia="en-US" w:bidi="ar-SA"/>
      </w:rPr>
    </w:lvl>
    <w:lvl w:ilvl="6" w:tplc="6FFEE394">
      <w:numFmt w:val="bullet"/>
      <w:lvlText w:val="•"/>
      <w:lvlJc w:val="left"/>
      <w:pPr>
        <w:ind w:left="6191" w:hanging="284"/>
      </w:pPr>
      <w:rPr>
        <w:lang w:val="uk-UA" w:eastAsia="en-US" w:bidi="ar-SA"/>
      </w:rPr>
    </w:lvl>
    <w:lvl w:ilvl="7" w:tplc="31BC8804">
      <w:numFmt w:val="bullet"/>
      <w:lvlText w:val="•"/>
      <w:lvlJc w:val="left"/>
      <w:pPr>
        <w:ind w:left="7109" w:hanging="284"/>
      </w:pPr>
      <w:rPr>
        <w:lang w:val="uk-UA" w:eastAsia="en-US" w:bidi="ar-SA"/>
      </w:rPr>
    </w:lvl>
    <w:lvl w:ilvl="8" w:tplc="7CD4345A">
      <w:numFmt w:val="bullet"/>
      <w:lvlText w:val="•"/>
      <w:lvlJc w:val="left"/>
      <w:pPr>
        <w:ind w:left="8028" w:hanging="284"/>
      </w:pPr>
      <w:rPr>
        <w:lang w:val="uk-UA" w:eastAsia="en-US" w:bidi="ar-SA"/>
      </w:rPr>
    </w:lvl>
  </w:abstractNum>
  <w:num w:numId="1" w16cid:durableId="5903124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77"/>
    <w:rsid w:val="0024482A"/>
    <w:rsid w:val="006846AB"/>
    <w:rsid w:val="00C95C77"/>
    <w:rsid w:val="00E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1BBE"/>
  <w15:chartTrackingRefBased/>
  <w15:docId w15:val="{EF5C2D15-14BD-48FD-8105-DC463391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95C77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  <w:kern w:val="0"/>
      <w:sz w:val="18"/>
      <w:szCs w:val="18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semiHidden/>
    <w:rsid w:val="00C95C77"/>
    <w:rPr>
      <w:rFonts w:ascii="Cambria" w:eastAsia="Cambria" w:hAnsi="Cambria" w:cs="Cambri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7979</Words>
  <Characters>4549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2024-09-09T23:48:00Z</dcterms:created>
  <dcterms:modified xsi:type="dcterms:W3CDTF">2024-09-09T23:48:00Z</dcterms:modified>
</cp:coreProperties>
</file>