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EE" w:rsidRDefault="00DE6CC4" w:rsidP="00DE6CC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Кримінально-правова політика України в умовах воєнного стану</w:t>
      </w:r>
    </w:p>
    <w:p w:rsidR="00DE6CC4" w:rsidRDefault="00DE6CC4" w:rsidP="00DE6CC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Вважається, що кримінально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правова політика є частиною державної політики у сфері протидії злочинності, що здійснюється засобами і методами кримінального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права, втілюється в явищах криміналізації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декриміналізації,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пеналізації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депеналізації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Певна річ, існує безліч дефінітивних варіацій кримінально-правової політики чи-то з ухилом на широке її розуміння як політики у сфері протидії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злочинності, боротьби з нею, чи-то з ухилом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на її значення як окремої міжгалузевої науки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та, відповідно, сфери політичної, себто такої,</w:t>
      </w:r>
      <w:r w:rsidRPr="00DE6CC4">
        <w:rPr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що генерує та реалізує владу, владарювання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таке, діяльності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. Водночас,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нашу думку, немає, по-перше, потреби і достатніх підстав визнавати кримінально-правову політику окремою наукою, а, по-друге,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немає підстав для звуження її змісту винятково до криміналізації (декриміналізації),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пеналізації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депеналізації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>) і діяльності, що їх забезпечує. Якщо йдеться про будь-яку правову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політику, то вона не має охоплюватись всім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механізмом правового регулювання та правового впливу, втілюватись у них. Отже, не лише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правотворчість має перебувати у фокусі кримінально-правової політики, а й, щонайменше,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правореалізація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, правозастосування, а також, як переконливо доводить П. Л.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Фріс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>, ідеологія як вимір, субстрат правової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свідомості і культури. Не секрет, що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безпосередніх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правозастосувачів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здатен «поставити хрест» на цілепокладанні умовного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законодавця (ініціаторів, розробників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законів про кримінальну відповідальність), адаптуючи, підминаючи практику застосування кримінального закону під власні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орієнтири, спроможності, можливості. Саме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тому реальна політика не може і не має завершуватися на правотворчому елементі, а сягати правозастосування, зв’язуючись на цьому рівні з іншими компонентами державної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політики (освітньої, просвітницької, іншої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гуманітарної, кримінологічної тощо). Тому слід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підтримати тих учених, які зазначають,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кримінально-правова політика виявляється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нормах законодавства про кримінальну відповідальність, практиці їх застосування (а також реалі</w:t>
      </w:r>
      <w:r>
        <w:rPr>
          <w:rFonts w:ascii="Times New Roman" w:hAnsi="Times New Roman" w:cs="Times New Roman"/>
          <w:sz w:val="28"/>
          <w:szCs w:val="28"/>
          <w:lang w:val="uk-UA"/>
        </w:rPr>
        <w:t>зації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рішеннях офіційного тлумачення Конституційним Судом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України кримінально-правових норм, постановах Пленуму Верховного Суду з питань застосування судами законодавства про кримінальну відповідальність, судових рішеннях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Верховного Суду України стосовно неоднакового застосування норм матеріального права. Сюди ж можна додати і застосування правових позицій Європейського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суду з прав людини, втілених у його рішеннях,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які мають значення для тлумачення і застосування кримінально-правових норм.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Викладене розуміння кримінально-правової політики дозволяє нам окреслити коло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тих викликів (основних, на нашу думку,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них), які перед нею виникли у зв’язку з початком повномасштабної агресії РФ проти України, і, власне, ідентифікувати ці виклики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такі, що стосуються кримінально-правової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політики. Це означає, що відповідь на них, зокрема, має забезпечуватись інструментами</w:t>
      </w:r>
      <w:r w:rsidRPr="00DE6CC4">
        <w:rPr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цієї політики, у зв’язку з чим вони можуть бути поділені на дві функціональні групи: безпосередньо пов’язані з агресією та опосередковані нею. Далі логіка викладу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буде такою: опис, стисле пояснення виклику,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наявної на нього реакції в межах кримінально-правової політики, характеристика недоліків такої реакції, пропозиції щодо можливих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шляхів їх усунення.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І. Безпосередні виклики онтологічного порядку, що визначають загрози фундаментального значення для організації суспільства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державну форму.</w:t>
      </w:r>
    </w:p>
    <w:p w:rsid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1. Захоплення (тимчасова окупація, анексія) територій – базовий виклик, що визначає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географічні контури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соціовітальних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меж. Відповіді на цей виклик, які оформлені кримінально-правовою політикою України, 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об’єднати у три групи: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1) виставлення функціональних заслонів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здійсненню ефективного контролю країною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агресором на тимчасово окупованих територіях і полегшенню розширення їх зони за рахунок кримінально-правової заборони сприянню діяльності окупаційних сил (ідеться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криміналізацію 3 березня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2022 р.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колабораційної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(ст. 111-1 КК України)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14 квітня 2022 р. – пособництва державі-агресору (ст. 111-2 КК України));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2) забезпечення додаткових гарантій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ефективної дії Збройних Сил України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відсічі агресії РФ через встановлення 24 березня 2022 р. кримінально-правової заборони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несанкціонованого поширення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про направлення, переміщення зброї, озброєння та бойових припасів в Україну, рух, переміщення або розміщення Збройних Сил України чи інших утворених відповідно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законів України військових формувань, вчиненого в умовах воєнного або надзвичайного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стану (ст. 114-2 КК України);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3) залучення максимального кола 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(передусім цивільних) до справи відсічі збройної агресії РФ проти України через міжгалузеве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продовження концепції Закону України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основи національного спротиву» від 16 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2021 р. № 1702-ІХ шляхом доповнення 15 березня 2022 р. переліку обставин, що виключають кримінальну протиправність діяння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новою, зафіксованою у ст. 43-1 КК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«виконання обов’язку щодо захисту Вітчизни,</w:t>
      </w:r>
      <w:r w:rsidRPr="00DE6CC4">
        <w:rPr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незалежності та територіальної цілісності України».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Такі кроки законодавця слід визнати зрозумілими, в цілому адекватними, однак недостатніми і такими, що залишаються вразливими до критичного аналізу. Результат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останнього дає можливість виділити дві групи недоліків у відповідях кримінально-правової політики України на безпосередні виклики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війни: стратегічного і тактичного характеру.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Недоліком стратегічного характеру,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має комплексний зміст, є прогалина або навіть повна відсутність уваги (на рівні доконаного правотворчого продукту) до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удосконалення кримінально-правової протидії злочинам агресії в термінології Римського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статуту Міжнародного кримінального суду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(далі – МКС). Засуджуючи агресивну війну,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формуючи організаційно-правовий, ресурсний інструментарій відсічі агресії, у кримінально-правовій площині саме агресія випадає.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Це не означає, що на національному рівні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відбувається розслідування злочинів, передбачених ст. 437 КК України («Планування, підготовка,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розв’язування та ведення агресивної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війни»). Такі розслідування проводяться. Проте це означає те, що абсолютно не використовується в цьому напрямі ресурс міжнародної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кримінальної юстиції. Останній, судячи з офіційних матеріалів МКС, а також відомих постанов Верховної Ради України про визнання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юрисдикції МКС, звернень 43 країн до Офісу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прокурора МКС протягом 1–11 березня 2022 р.,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сфокусований на розслідуванні воєнних злочинів, злочинів проти людяності, відбувається перевірка на наявність ознак злочину геноциду. Однак про злочини агресії не йдеться.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У міжнародно-правовому вимірі виходить так,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що агресивна війна є, агресія як міжнародно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протиправне діяння держави РФ є, а злочину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агресії начебто немає.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Про кроки, необхідні для виходу із цієї ситуації, усунення цього недоліку, вже сказано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чимало, але ще до початку повномасштабної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війни РФ проти України. У сучасних умовах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наявні напрацювання варто актуалізувати.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Йдеться щонайменше про два заходи: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а) ратифікацію Україною Римського 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МКС та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Кампальських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додатків до нього. Чинна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Конституція України (ч. 6 ст. 124) вже дозволяє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це зробити. Без такого кроку міжнародна</w:t>
      </w:r>
      <w:r w:rsidRPr="00DE6CC4">
        <w:rPr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кримінальна юстиція, принаймні у форматі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діяльності МКС, щодо злочинів агресії вищих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посадових осіб РФ проти України лишатиметься недосяжною. Звісно, існують і певні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ризики ратифікації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. Однак їх можливо мінімізувати;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б) удосконалення чинної редакції ст. 437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КК України у напрямі її гармонізації з положеннями Римського статуту МКС щодо забезпечення необхідної деталізації й термінологічної синхронізації ознак складу злочину,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передбаченого ст. 437 КК України, їх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релевантності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елементам злочину агресії, зафіксованих у ст. 8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bis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Римського статуту МКС. Перш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за все, йдеться про деталізацію ознак об’єктивної сторони, визначення конкретних проявів, які, зокрема, охоплюють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парамілітарних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об’єднань, незаконних збройних формувань, приватних військових компаній у цілях агресії, надання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території власної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держави для використання збройних сил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державою-агресором (актуально щодо Республіки Білорусь) тощо.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Недоліки тактичного (техніко-юридичного і правозастосовного) характеру виявляють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себе у значній кількості при аналізі статей 111, 111-1, 111-2 та 436-2 КК України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візуалізуються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в численних та не виправданих практичною необхідністю ситуаціях: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а) конкуренції цих кримінально-правових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норм за великою кількістю ознак. Найбільш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проблематичним є розмежування ч. 1 ст. 111-1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та ст. 436-2 КК України стосовно публічного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заперечення громадянином України здійснення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збройної агресії проти України, встановлення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та утвердження тимчасової окупації частини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території України. На практиці підрозділи СБУ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і Національної поліції виходять із цього положення, враховуючи лише ознаку публічності,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яка чітко передбачена ч. 1 ст. 111-1 КК України.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Такий підхід слід визнати практичним, однак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таким, що не відповідає задуму, смислу криміналізації вказаних суспільно небезпечних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діянь. Крім того, не менше проблем виникає з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конкуренцією: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– ч. 4 ст. 111-1 та ст. 111-2 КК України стосовно передачі матеріальних ресурсів незаконним збройним чи воєнізованим формуванням, створеним на тимчасово окупованій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території, та/або збройним чи воєнізованим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формуванням держави-агресора;</w:t>
      </w:r>
    </w:p>
    <w:p w:rsidR="008A49B5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– ч. 1 ст. 111 та ч. 7 ст. 111-1 КК України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щодо переходу на бік ворога громадянина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України шляхом зайняття посади в незаконних судових або правоохоронних органах,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створених на тимчасово окупованій території,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а також добровільної участі громадянина України в незаконних збройних чи воєнізованих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формуваннях, створених на тимчасово окупованій території, та/або в збройних формуваннях держави-агресора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Явних розмежувальних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критеріїв тут немає. Як варіант, використовувати ознаку добровільності зайняття посади у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колабораційній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та її відсутності в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державній зраді (співвідношення норм статей 111 та 111-1 КК України як загальної та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спеціальної, як на тому наголошують деякі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lastRenderedPageBreak/>
        <w:t>вчені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). Тобто вийти з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допущення, що держава зрада може відбутися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й у вимушено добровільний спосіб, при застосуванні примусу, що не виключає кримінальної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протиправності діяння. Хоча, на нашу думку,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більш виваженим буде підхід запровадження у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ст. 111 КК України (на відміну від ст. 111-1 КК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України) спеціального суб’єкта, що перебуває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під присягою на вірність народові України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(військовослужбовці, правоохоронці, судді та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ін.) і зраджує цій присязі.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У цьому контексті не можна не звернути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увагу і на ту обставину, що законодавець не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передбачив ознаку добровільності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колабораційних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діянь, передбачених у частинах 3 та 4,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на відміну від частин 2, 5 і 7 ст. 111-1 КК України, чим створив умови непропорційної кримінальної репресії в системно-правовому її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розумінні;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б) невідповідності між назвою Розділу І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Особливої частини КК України «Злочини проти основ національної безпеки» та видом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кримінальних правопорушень, передбачених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частинами 1, 2 ст. 111-1 КК України (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колабораційна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діяльність), що можуть бути визначені як кримінальні проступки. Звідси постає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проблема, на яку вже звертали увагу науковці, щодо можливості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розслідувати ці злочини органами Служби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безпеки України, у структурі яких не створені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підрозділи дізнання, що мають розслідувати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кримінальні проступки. Створення окремого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структурного підрозділу у Службі безпеки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України заради розслідування всього лише</w:t>
      </w:r>
      <w:r w:rsidRPr="008A49B5">
        <w:rPr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однієї категорії кримінальних правопорушень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видається недоцільним, навіть з економічної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точки зору. Варто змінювати положення законодавства;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в) неадекватної санкції ч. 1 ст. 111-1 КК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України, що передбачає безальтернативне покарання у вигляді позбавленням права обіймати певні посади або займатися певною діяльністю на строк від десяти до п’ятнадцяти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років1. Як випливає зі здійсненого нами аналізу слідчої та судової практики, наявних у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Єдиному державному реєстрі судових рішень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вироків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колабораційну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(ч. 1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ст. 111-1 КК України), така санкція абсолютно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не корелює з ознаками осіб злочинців, адже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абсолютна більшість із них не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відповідає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ознакам службової особи, не мала на момент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притягнення до кримінальної відповідальності жодного стосунку до публічної служби.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Вихід із цієї ситуації вбачається у внесенні змін до санкцій частин 1, 2 ст. 111-1 КК України шляхом запровадження необхідних для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визнання таких дій злочинними діапазону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штрафу (від 3 до 10 тис. неоподатковуваних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мінімумів доходів громадян) або позбавлення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волі на строк від 2 до 5 років залежно від суспільної небезпечності відповідних проявів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колабораціонізму.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Також до недоліків тактичного характеру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щодо відповідей на перший, базовий воєнно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політичний виклик можна віднести і вади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конструювання ст. 43-1 КК України. Йдеться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про юридичну неможливість дотримання однієї з необхідних умов викладеної в ній обставини, що виключає кримінальну протиправність, а саме забезпечити спрямованість дій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щодо спричинення шкоди «особі, яка здійснює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агресію». Наголосимо, що використання в ч. 1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ст. 43-1 КК України категорії «особи, які здійснюють агресію» є таким, що не забезпечує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можливості досягнення цілей кримінально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правового регулювання, які найвірогідніше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переслідував законодавець, створюючи цю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норму. Оперування в тексті закону цією нормою очевидно відсилає, в першу чергу, до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ст. 437 КК України, а у другу, – до ст. 1 Закону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України «Про оборону України» від 6 грудня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1991 р. № 1932-ХІІ задля визначення суб’єктів здійснення агресії, тобто власне тих суб’єктів, яким можна в контексті ст. 43-1 КК</w:t>
      </w:r>
      <w:r w:rsidRPr="00DE6CC4">
        <w:rPr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правомірно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спричиняти шкоду, аж до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позбавлення життя. При цьому не важко з’ясувати, що суб’єктом злочину, передбаченого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ст. 437 КК України, тобто тим, хто здійснює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агресію, є лише вище військово-політичне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керівництво країни-агресора, тобто особи, які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здатні приймати рішення про використання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збройних сил держави, здійснювати ефективний контроль за якого виконанням. Відповідно ж до положень міжнародного гуманітарного права комбатанти мають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міжнародноправовий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імунітет щодо діянь, які входять у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зміст агресії, відповідаючи лише за супутні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злочини (воєнні, проти людяності – у категоріях Римського статуту МКС). Відтак ст. 43-1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КК України відкрила можливість заподіювати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шкоду аж до спричинення смерті вищому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військово-політичному керівництву країни-агресора, а не її комбатантам та інших дотичним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до них особам (служакам міфічних утворень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«ДНР», «ЛНР», приватним військовим компаніям,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колаборантам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та ін.). Вочевидь, не це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лежало в основі законодавчого задуму.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Виправити цю ситуацію можливо звернувши увагу на положення Порядку застосування зброї і бойової техніки з’єднаннями, військовими частинами і підрозділами Збройних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Сил під час виконання ними завдань щодо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відсічі збройної агресії проти України (затвердженого Постановою Кабінету Міністрів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України від 10 жовтня 2018 р. № 828), п. 2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якого оперує категорією «особи, причетні до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збройної агресії». Під такими особами розуміється особовий склад регулярних з’єднань і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підрозділів іноземних держав, підрозділів та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спеціальних формувань, підпорядкованих іншим силовим відомствам іноземних держав,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іррегулярних незаконних збройних формувань, створених, підпорядкованих, керованих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та фінансованих іноземною державою, їх радники та інструктори, а також персонал окупаційної адміністрації іноземної держави (яку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становлять її державні органи і структури,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функціонально відповідальні за управління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тимчасово окупованими територіями України,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та підконтрольні іноземній державі самопроголошені органи, які узурпували виконання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владних функцій на тимчасово окупованих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територіях України). Аналогічне розуміння</w:t>
      </w:r>
      <w:r w:rsidRPr="008A49B5">
        <w:rPr>
          <w:lang w:val="uk-UA"/>
        </w:rPr>
        <w:t xml:space="preserve"> 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>цього терміну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викладене і в Порядку застосування цивільними особами вогнепальної зброї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під час участі у відсічі та стримуванні збройної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агресії Російської Федерації та/або інших держав проти України у період дії воєнного стану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(затвердженому Постановою Кабінету Міністрів України від 15 квітня 2022 р. № 488), що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«розв’язує руки» найбільш широкому колу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осіб, зокрема цивільних, задля активної та</w:t>
      </w:r>
      <w:r w:rsidR="008A4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ефективної участі у відсічі збройної агресії.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Отже, найпростішим шляхом підвищення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ефективності норми, передбаченої ст. 43-1 КК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України, є внесення до неї змін, спрямованих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на заміну категорії «особи, які здійснюють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агресію» на «особи, які причетні до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lastRenderedPageBreak/>
        <w:t>агресії», та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запровадження нового виду причетності за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кримінальним законодавством нашої країни.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Зокрема, це легітимізує партизанський рух на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тимчасово окупованих територіях та їхні дії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щодо «ліквідації» найбільш небезпечних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колаборантів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>, які підпадатимуть під категорію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«особи, причетні до агресії».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2. Убивства, поневолення, виселення, інші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масові грубі порушення основоположних прав і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свобод людей на тимчасово окупованих територіях також серед основних викликів війни.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І чи не єдиною відповіддю, з точки зору адаптивних змін кримінально-правової політики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України, стала криміналізація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колабораційної</w:t>
      </w:r>
      <w:proofErr w:type="spellEnd"/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діяльності (ст. 111-1 КК України). Разом із тим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очевидними є прогалини щодо: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1) належної, необхідної зміни ст. 438 КК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України в напрямі деталізації, диференціації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воєнних злочинів, узгодження їх ознак із тими, якими оперує Римський статут МКС, зважаючи на вже здійснювану юрисдикцію цього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органу на ситуації по Україні і на зміст принципу компліментарності, а також запитів щодо координації, узгодження спільної діяльності міжнародних та національних слідчих у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удових органів. І первинним у цьому аспекті</w:t>
      </w:r>
      <w:r w:rsidR="00951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є запит на узгодження термінологічне,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юридико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>-концептуальне і техніко-юридичне.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Справедливості заради варто вказати на</w:t>
      </w:r>
      <w:r w:rsidR="00002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те, що в минулому році Верховна Рада Україна</w:t>
      </w:r>
      <w:r w:rsidRPr="00DE6CC4"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позитивно проголосувала за Проєкт Закону</w:t>
      </w:r>
      <w:r w:rsidR="00002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деяких законодавчих</w:t>
      </w:r>
      <w:r w:rsidR="00002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актів України щодо імплементації норм міжнародного кримінального та гуманітарного</w:t>
      </w:r>
      <w:r w:rsidR="000020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права (№ 2689) в аспекті воєнних злочинів.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Наголосимо, що цей проєкт було ухвалено,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підписано головою Парламенту та спрямовано на підпис Президентові України ще 7 червня 2021 р. Однак він абсолютно дивовижним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чином не був повернений (ветований), не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опублікований, не чинний усупереч встановленому порядку набуття чинності законами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України. Патова і цілком неправова ситуація,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яка склалася у зв’язку із цим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законопроєктом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суттєво ускладнює можливості підвищення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ефективності протидії воєнним злочинам.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Цей закон є вкрай необхідним;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lastRenderedPageBreak/>
        <w:t>2) щодо неврегульованості відносин із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питань кримінально-правової заборони низки злочинів проти людяності (в термінології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Римського статуту МКС). Серед іншого йдеться про депортації та інші злочини не як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загальнокримінальні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>, а саме як ті, що порушують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загальновизнані норми та принципи цивілізованих народів світу (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jus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cogens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>), тобто посягають на засади людяності, порушують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принципи забезпечення етичного мінімуму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людського співжиття. За даними Офісу Генерального прокурора, станом на липень 2022 р.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розслідується близько 20 000 кримінальних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проваджень щодо звинувачень у катуваннях,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зґвалтуваннях, убивствах, страти, пов’язаних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із війною, а також депортації цивільного населення – десятків тисяч у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>країнців, яких вивезли до Росії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. Тому нагальною є спеціальна криміналізація відповідних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діянь, що вчиняються в умовах воєнного чи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збройного конфлікту, характеризуються масовістю, залученням адміністративного, державного чи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квазідержавного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ресурсу.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3. Убивства та руйнування цивільних об’єктів, не зумовлене воєнною необхідністю, що,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на жаль, на сьогодні набуло характеру терору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українського народу. І саме остання обставина є вельми проблематичною, адже правозастосовна практика від початку повномасштабного вторгнення РФ в Україну йде шляхом</w:t>
      </w:r>
      <w:r w:rsidRPr="00DE6CC4">
        <w:rPr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кваліфікації подібних дій (ракетні, артилерійські обстріли міст) винятково як воєнних злочинів (ст. 438 КК України). На це вказує і статистика, і зібрані нами експертні оцінки серед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слідчих Служби безпеки України. Їх аргументом є те, що ці злочини вчиняються комбатантами, а отже, про жодний тероризм йтися не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може. Позиція спірна, оскільки, вважаємо,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ключовим розрізненням між терактами та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воєнними злочинами є не стільки спеціальний суб’єкт, скільки цілі, які переслідуються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винними. Питання більш ґрунтовного їх розмежування з урахуванням сучасної і вельми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сумної практики нашої країни – справа окремих досліджень. Тут же наголосимо, що тероризм цілком може співіснувати з воєнними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злочинами. Тому не або ст. 258, або ст. 438 КК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України, а «і», «і». Це – питання зміни правозастосовної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практики. Має йтися про конвергенцію антитерористичної та антивоєнної складових кримінально-правової політики.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ІІ. Опосередковані виклики, що постали у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зв’язку з війною. Негативні соціально-демографічні, економічні, соціокультурні, психологічні зміни стану суспільного розвитку: міграція,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істотне зростання неприродної смертності,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передусім серед працездатних чоловіків, руйнація цілих галузей економіки, зниження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економічної активності, безробіття, посттравматичні стресові розлади, високий рівень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тривожності – далеко не повний перелік вторинних (від війни) викликів, які постали перед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українським суспільством. Певна річ, відповідь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на них – справа комплексна і далеко не тільки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лежить у контурах кримінально-правової політики. З точки ж зору останньої, відбулося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посилення кримінальної відповідальності за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низку найбільш поширених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загальнокримінальних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корисливих правопорушень за критерієм їх учинення в умовах воєнного стану (ч. 4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ст. 185, ч. 4 ст. 186, ч. 4 ст. 187 КК України). Не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вдаючись до детального аналізу складів цих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правопорушень та критеріїв дотримання підстав криміналізації,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вкажемо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лише на те, що у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прагненні до виставлення кримінально-правових заслонів так званому цивільному мародерству законодавець досяг і необґрунтованого істотного зростання репресивності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закону про кримінальну відповідальність. У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судів, на наше переконання, і до цієї криміналізації було достатньо інструментів для врахування небезпечності вчинення кримінального правопорушення в умовах воєнного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стану через ст. 65 КК України. Крім того, простежується непослідовність законодавця, адже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ознака воєнного стану не була визнана кваліфікуючою для цілої низки інших корисливих</w:t>
      </w:r>
      <w:r w:rsidRPr="00DE6CC4"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кримінальних правопорушень: у сфері господарської діяльності, проти довкілля тощо.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Отже, вважаємо за доцільне вилучити з указаних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субкваліфікованих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складів крадіжки,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грабежу, розбою ознаки їх учинення в умовах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воєнного стану.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Ще однією відповіддю на виклик у сфері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інформаційної безпеки та моральності (по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суті),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спроєктований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на площину миру і безпеки людства,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міжнародного правопорядку,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стала криміналізація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виправдовування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>, визнання правомірною, заперечення збройної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агресії Російської Федерації проти України,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глорифікація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її учасників (ст. 436-2 КК України)1. Аналіз цієї кримінально-правової норми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і практики її застосування свідчить, на нашу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думку, про наявність вад концептуального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характеру стосовно порушення конституційного права громадян на свободу думки. Справа в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тому, що чинна редакція ч. 1 ст. 436-2 КК України не містить як обов’язкової такої ознаки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суспільно небезпечних дій, як публічність (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виправдовування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>, визнання, заперечення). Тобто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висловлення власної думки навіть у приватній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бесіді (!), зокрема й у пасивній формі (згода із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твердженням іншої особи, зокрема виражена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у конклюдентних діях – кивок голови, піднятий до гори великий палець руки тощо), або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інше пасивне долучення до чиєїсь позиції (виставлення «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вподобайки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>» (той самий палець,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але віртуальний) під чиїмось постом у соціальній мережі) вже визнається кримінально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протиправним. Про це свідчать як наявні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вироки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>, так і зібрані нами експертні оцінки серед слідчих Служби безпеки України. Визнання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або заперечення є, вочевидь, висловлюванням,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іншим виразом власної думки (принаймні за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відсутності ознак публічності і мети пропаганди), а не суспільно небезпечним діянням. Переконані, що репресивні комуно-соціалістичні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чи націонал-соціалістичні практики 30-х років минулого століття, переслідування інакодумства як такого – не те, чого потребує держава і суспільство, що бачать себе в родині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цивілізованих народів Європи.</w:t>
      </w:r>
    </w:p>
    <w:p w:rsidR="00DE6CC4" w:rsidRPr="00DE6CC4" w:rsidRDefault="00DE6CC4" w:rsidP="00DE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6CC4">
        <w:rPr>
          <w:rFonts w:ascii="Times New Roman" w:hAnsi="Times New Roman" w:cs="Times New Roman"/>
          <w:sz w:val="28"/>
          <w:szCs w:val="28"/>
          <w:lang w:val="uk-UA"/>
        </w:rPr>
        <w:t>Підсумовуючи, зауважимо,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що проблеми адаптивності кримінально-правової політики України до викликів воєнного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часу мають комплексний характер. Викладені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ремарки – спроба системного опису і пояснення основних з них. Однак навіть на рівні</w:t>
      </w:r>
      <w:r w:rsidRPr="00836682">
        <w:rPr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таких ремарок є очевидною потреба у формуванні концептуального, стратегічного підходу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до забезпечення адекватних відповідей загрозам війни інструментами кримінально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правового регулювання, в тому числі і зокрема із залученням можливостей міжнародної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кримінальної юстиції. Конче необхідною є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ратифікація Україною Римського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статуту МКС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DE6CC4">
        <w:rPr>
          <w:rFonts w:ascii="Times New Roman" w:hAnsi="Times New Roman" w:cs="Times New Roman"/>
          <w:sz w:val="28"/>
          <w:szCs w:val="28"/>
          <w:lang w:val="uk-UA"/>
        </w:rPr>
        <w:t>Кампальських</w:t>
      </w:r>
      <w:proofErr w:type="spellEnd"/>
      <w:r w:rsidRPr="00DE6CC4">
        <w:rPr>
          <w:rFonts w:ascii="Times New Roman" w:hAnsi="Times New Roman" w:cs="Times New Roman"/>
          <w:sz w:val="28"/>
          <w:szCs w:val="28"/>
          <w:lang w:val="uk-UA"/>
        </w:rPr>
        <w:t xml:space="preserve"> додатків до нього. Не менш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значущим є вдосконалення внутрішнього законодавства і практики його застосування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стосовно протидії колабораціонізму, пособництву державі-агресору, а також воєнним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злочинам, злочинам агресії, злочинам проти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людяності. Запропоновані в цій роботі шляхи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такого вдосконалення варто розглядати не як</w:t>
      </w:r>
      <w:r w:rsidR="008366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доконані пропозиції, а як запрошення до наукової дискусії</w:t>
      </w:r>
      <w:r w:rsidR="00836682">
        <w:rPr>
          <w:rStyle w:val="a5"/>
          <w:rFonts w:ascii="Times New Roman" w:hAnsi="Times New Roman" w:cs="Times New Roman"/>
          <w:sz w:val="28"/>
          <w:szCs w:val="28"/>
          <w:lang w:val="uk-UA"/>
        </w:rPr>
        <w:endnoteReference w:id="1"/>
      </w:r>
      <w:r w:rsidRPr="00DE6C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E6CC4" w:rsidRPr="00DE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D6" w:rsidRDefault="00B277D6" w:rsidP="00836682">
      <w:pPr>
        <w:spacing w:after="0" w:line="240" w:lineRule="auto"/>
      </w:pPr>
      <w:r>
        <w:separator/>
      </w:r>
    </w:p>
  </w:endnote>
  <w:endnote w:type="continuationSeparator" w:id="0">
    <w:p w:rsidR="00B277D6" w:rsidRDefault="00B277D6" w:rsidP="00836682">
      <w:pPr>
        <w:spacing w:after="0" w:line="240" w:lineRule="auto"/>
      </w:pPr>
      <w:r>
        <w:continuationSeparator/>
      </w:r>
    </w:p>
  </w:endnote>
  <w:endnote w:id="1">
    <w:p w:rsidR="00836682" w:rsidRPr="00836682" w:rsidRDefault="00836682">
      <w:pPr>
        <w:pStyle w:val="a3"/>
        <w:rPr>
          <w:lang w:val="uk-UA"/>
        </w:rPr>
      </w:pPr>
      <w:r>
        <w:rPr>
          <w:rStyle w:val="a5"/>
        </w:rPr>
        <w:endnoteRef/>
      </w:r>
      <w:r>
        <w:t xml:space="preserve"> </w:t>
      </w:r>
      <w:r>
        <w:rPr>
          <w:lang w:val="uk-UA"/>
        </w:rPr>
        <w:t xml:space="preserve">Орлов Ю.В., </w:t>
      </w:r>
      <w:proofErr w:type="spellStart"/>
      <w:r>
        <w:rPr>
          <w:lang w:val="uk-UA"/>
        </w:rPr>
        <w:t>Прібиткова</w:t>
      </w:r>
      <w:proofErr w:type="spellEnd"/>
      <w:r>
        <w:rPr>
          <w:lang w:val="uk-UA"/>
        </w:rPr>
        <w:t xml:space="preserve"> Н.О. Війна та кримінально-правова політика України: виклики і відповіді. </w:t>
      </w:r>
      <w:r w:rsidRPr="00836682">
        <w:rPr>
          <w:i/>
          <w:lang w:val="uk-UA"/>
        </w:rPr>
        <w:t>Право і безпека</w:t>
      </w:r>
      <w:r>
        <w:rPr>
          <w:lang w:val="uk-UA"/>
        </w:rPr>
        <w:t xml:space="preserve">. </w:t>
      </w:r>
      <w:r w:rsidRPr="00836682">
        <w:rPr>
          <w:lang w:val="uk-UA"/>
        </w:rPr>
        <w:t>2022. № 2 (85)</w:t>
      </w:r>
      <w:r>
        <w:rPr>
          <w:lang w:val="uk-UA"/>
        </w:rPr>
        <w:t>. С. 40-49.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D6" w:rsidRDefault="00B277D6" w:rsidP="00836682">
      <w:pPr>
        <w:spacing w:after="0" w:line="240" w:lineRule="auto"/>
      </w:pPr>
      <w:r>
        <w:separator/>
      </w:r>
    </w:p>
  </w:footnote>
  <w:footnote w:type="continuationSeparator" w:id="0">
    <w:p w:rsidR="00B277D6" w:rsidRDefault="00B277D6" w:rsidP="00836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C4"/>
    <w:rsid w:val="00002054"/>
    <w:rsid w:val="003A44EE"/>
    <w:rsid w:val="004E08C1"/>
    <w:rsid w:val="00836682"/>
    <w:rsid w:val="008A49B5"/>
    <w:rsid w:val="009510D1"/>
    <w:rsid w:val="00A63E1A"/>
    <w:rsid w:val="00B277D6"/>
    <w:rsid w:val="00C27B5D"/>
    <w:rsid w:val="00D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43AA5-5F1A-41D6-9A98-AADA61BF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3668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3668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366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6CC6-E070-4AF4-97EB-8F8A13BF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3664</Words>
  <Characters>20888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2024-09-16T07:05:00Z</dcterms:created>
  <dcterms:modified xsi:type="dcterms:W3CDTF">2024-09-16T07:33:00Z</dcterms:modified>
</cp:coreProperties>
</file>