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F4B" w:rsidRDefault="00166F4B" w:rsidP="00166F4B">
      <w:pPr>
        <w:pStyle w:val="1"/>
      </w:pPr>
      <w:bookmarkStart w:id="0" w:name="_TOC_250000"/>
      <w:r>
        <w:t>СПИСОК</w:t>
      </w:r>
      <w:r>
        <w:rPr>
          <w:spacing w:val="-7"/>
        </w:rPr>
        <w:t xml:space="preserve"> </w:t>
      </w:r>
      <w:bookmarkEnd w:id="0"/>
      <w:r>
        <w:rPr>
          <w:spacing w:val="-2"/>
        </w:rPr>
        <w:t>ПОСИЛАНЬ</w:t>
      </w:r>
    </w:p>
    <w:p w:rsidR="00166F4B" w:rsidRDefault="00166F4B" w:rsidP="00166F4B">
      <w:pPr>
        <w:pStyle w:val="a3"/>
        <w:spacing w:before="94"/>
        <w:ind w:left="0"/>
        <w:rPr>
          <w:b/>
        </w:rPr>
      </w:pPr>
    </w:p>
    <w:p w:rsidR="00166F4B" w:rsidRDefault="00166F4B" w:rsidP="00166F4B">
      <w:pPr>
        <w:pStyle w:val="a5"/>
        <w:numPr>
          <w:ilvl w:val="0"/>
          <w:numId w:val="1"/>
        </w:numPr>
        <w:tabs>
          <w:tab w:val="left" w:pos="1467"/>
        </w:tabs>
        <w:spacing w:line="276" w:lineRule="auto"/>
        <w:ind w:right="119" w:firstLine="720"/>
        <w:jc w:val="both"/>
        <w:rPr>
          <w:sz w:val="28"/>
        </w:rPr>
      </w:pPr>
      <w:r>
        <w:rPr>
          <w:sz w:val="28"/>
        </w:rPr>
        <w:t>Дистанційний курс «Особливості проєктування сучасних гідротехнічних споруд». URL: https://dl.kname.edu.ua/course/view.php?id=3423.</w:t>
      </w:r>
    </w:p>
    <w:p w:rsidR="00166F4B" w:rsidRDefault="00166F4B" w:rsidP="00166F4B">
      <w:pPr>
        <w:pStyle w:val="a5"/>
        <w:numPr>
          <w:ilvl w:val="0"/>
          <w:numId w:val="1"/>
        </w:numPr>
        <w:tabs>
          <w:tab w:val="left" w:pos="1164"/>
        </w:tabs>
        <w:spacing w:before="1" w:line="276" w:lineRule="auto"/>
        <w:ind w:right="111" w:firstLine="720"/>
        <w:jc w:val="both"/>
        <w:rPr>
          <w:sz w:val="28"/>
        </w:rPr>
      </w:pPr>
      <w:r>
        <w:rPr>
          <w:sz w:val="28"/>
        </w:rPr>
        <w:t xml:space="preserve">Erbisti P. C. F. Design of hydraulic gates. 2-nd </w:t>
      </w:r>
      <w:r>
        <w:rPr>
          <w:color w:val="212121"/>
          <w:sz w:val="28"/>
        </w:rPr>
        <w:t xml:space="preserve">ed. </w:t>
      </w:r>
      <w:r>
        <w:rPr>
          <w:sz w:val="28"/>
        </w:rPr>
        <w:t>Lisse, Netherlands : Balkema, 2014. 417 р.</w:t>
      </w:r>
    </w:p>
    <w:p w:rsidR="00166F4B" w:rsidRDefault="00166F4B" w:rsidP="00166F4B">
      <w:pPr>
        <w:pStyle w:val="a5"/>
        <w:numPr>
          <w:ilvl w:val="0"/>
          <w:numId w:val="1"/>
        </w:numPr>
        <w:tabs>
          <w:tab w:val="left" w:pos="1182"/>
        </w:tabs>
        <w:spacing w:line="276" w:lineRule="auto"/>
        <w:ind w:right="114" w:firstLine="720"/>
        <w:jc w:val="both"/>
        <w:rPr>
          <w:sz w:val="28"/>
        </w:rPr>
      </w:pPr>
      <w:r>
        <w:rPr>
          <w:sz w:val="28"/>
        </w:rPr>
        <w:t>Hydraulic structures: textbook / Novak P., Moffat A. I. B., Nalluri C., Narayanan R. A. I. B. 4-</w:t>
      </w:r>
      <w:r>
        <w:rPr>
          <w:color w:val="212121"/>
          <w:sz w:val="28"/>
        </w:rPr>
        <w:t xml:space="preserve">th ed. </w:t>
      </w:r>
      <w:r>
        <w:rPr>
          <w:sz w:val="28"/>
        </w:rPr>
        <w:t>New York : Taylor &amp; Francis, 2017. 700 р.</w:t>
      </w:r>
    </w:p>
    <w:p w:rsidR="00166F4B" w:rsidRDefault="00166F4B" w:rsidP="00166F4B">
      <w:pPr>
        <w:pStyle w:val="a5"/>
        <w:numPr>
          <w:ilvl w:val="0"/>
          <w:numId w:val="1"/>
        </w:numPr>
        <w:tabs>
          <w:tab w:val="left" w:pos="1189"/>
        </w:tabs>
        <w:spacing w:line="276" w:lineRule="auto"/>
        <w:ind w:right="121" w:firstLine="720"/>
        <w:jc w:val="both"/>
        <w:rPr>
          <w:color w:val="212121"/>
          <w:sz w:val="28"/>
        </w:rPr>
      </w:pPr>
      <w:r>
        <w:rPr>
          <w:sz w:val="28"/>
        </w:rPr>
        <w:t>Ross S. M. Introduction to probability and statistics for engineers and scientists. 4-</w:t>
      </w:r>
      <w:r>
        <w:rPr>
          <w:color w:val="212121"/>
          <w:sz w:val="28"/>
        </w:rPr>
        <w:t xml:space="preserve">th ed. </w:t>
      </w:r>
      <w:r>
        <w:rPr>
          <w:sz w:val="28"/>
        </w:rPr>
        <w:t>Burlington : Elsevier Academic Press, 2009. 664 p.</w:t>
      </w:r>
    </w:p>
    <w:p w:rsidR="00166F4B" w:rsidRDefault="00166F4B" w:rsidP="00166F4B">
      <w:pPr>
        <w:pStyle w:val="a5"/>
        <w:numPr>
          <w:ilvl w:val="0"/>
          <w:numId w:val="1"/>
        </w:numPr>
        <w:tabs>
          <w:tab w:val="left" w:pos="1191"/>
        </w:tabs>
        <w:spacing w:line="278" w:lineRule="auto"/>
        <w:ind w:right="117" w:firstLine="720"/>
        <w:jc w:val="both"/>
        <w:rPr>
          <w:sz w:val="28"/>
        </w:rPr>
      </w:pPr>
      <w:r>
        <w:rPr>
          <w:sz w:val="28"/>
        </w:rPr>
        <w:t>Smith D. J. Reliability, maintainability and risk: practical methods for engineers. 8-th ed. Kidlington : Butterworth-Heinemann, 2021. 435 p.</w:t>
      </w:r>
    </w:p>
    <w:p w:rsidR="00166F4B" w:rsidRDefault="00166F4B" w:rsidP="00166F4B">
      <w:pPr>
        <w:pStyle w:val="a5"/>
        <w:numPr>
          <w:ilvl w:val="0"/>
          <w:numId w:val="1"/>
        </w:numPr>
        <w:tabs>
          <w:tab w:val="left" w:pos="1176"/>
        </w:tabs>
        <w:spacing w:line="276" w:lineRule="auto"/>
        <w:ind w:right="123" w:firstLine="720"/>
        <w:jc w:val="both"/>
        <w:rPr>
          <w:sz w:val="28"/>
        </w:rPr>
      </w:pPr>
      <w:r>
        <w:rPr>
          <w:sz w:val="28"/>
        </w:rPr>
        <w:t>Montgomery D. C., Runger G. C. Applied statistics and probability for engineers : monograph. 6th ed. Danvers : John Wiley &amp; Sons, 2020. 811 p.</w:t>
      </w:r>
    </w:p>
    <w:p w:rsidR="00166F4B" w:rsidRDefault="00166F4B" w:rsidP="00166F4B">
      <w:pPr>
        <w:pStyle w:val="a5"/>
        <w:numPr>
          <w:ilvl w:val="0"/>
          <w:numId w:val="1"/>
        </w:numPr>
        <w:tabs>
          <w:tab w:val="left" w:pos="1118"/>
        </w:tabs>
        <w:spacing w:line="278" w:lineRule="auto"/>
        <w:ind w:right="108" w:firstLine="720"/>
        <w:jc w:val="both"/>
        <w:rPr>
          <w:sz w:val="28"/>
        </w:rPr>
      </w:pPr>
      <w:r>
        <w:rPr>
          <w:sz w:val="28"/>
        </w:rPr>
        <w:t>Гідротехнічні споруди : підручник для вузів. / А. Ф. Дмитрієв та ін. ; за ред. А. Ф. Дмітрієва. Рівне : РДТУ, 1999. 328 с.</w:t>
      </w:r>
    </w:p>
    <w:p w:rsidR="00166F4B" w:rsidRDefault="00166F4B" w:rsidP="00166F4B">
      <w:pPr>
        <w:pStyle w:val="a5"/>
        <w:numPr>
          <w:ilvl w:val="0"/>
          <w:numId w:val="1"/>
        </w:numPr>
        <w:tabs>
          <w:tab w:val="left" w:pos="1162"/>
        </w:tabs>
        <w:spacing w:line="276" w:lineRule="auto"/>
        <w:ind w:right="110" w:firstLine="720"/>
        <w:jc w:val="both"/>
        <w:rPr>
          <w:sz w:val="28"/>
        </w:rPr>
      </w:pPr>
      <w:r>
        <w:rPr>
          <w:sz w:val="28"/>
        </w:rPr>
        <w:t>Keith T. Z. Multiple regression and beyond: An introduction to multiple regression and structural equation modelling. 3-rd ed. New York : Taylor &amp; Francis, 2019. 639 p.</w:t>
      </w:r>
    </w:p>
    <w:p w:rsidR="00166F4B" w:rsidRDefault="00166F4B" w:rsidP="00166F4B">
      <w:pPr>
        <w:pStyle w:val="a5"/>
        <w:numPr>
          <w:ilvl w:val="0"/>
          <w:numId w:val="1"/>
        </w:numPr>
        <w:tabs>
          <w:tab w:val="left" w:pos="1104"/>
        </w:tabs>
        <w:ind w:left="1104" w:hanging="271"/>
        <w:jc w:val="both"/>
        <w:rPr>
          <w:sz w:val="28"/>
        </w:rPr>
      </w:pPr>
      <w:r>
        <w:rPr>
          <w:sz w:val="28"/>
        </w:rPr>
        <w:t>Chen</w:t>
      </w:r>
      <w:r>
        <w:rPr>
          <w:spacing w:val="-13"/>
          <w:sz w:val="28"/>
        </w:rPr>
        <w:t xml:space="preserve"> </w:t>
      </w:r>
      <w:r>
        <w:rPr>
          <w:sz w:val="28"/>
        </w:rPr>
        <w:t>L.,</w:t>
      </w:r>
      <w:r>
        <w:rPr>
          <w:spacing w:val="-12"/>
          <w:sz w:val="28"/>
        </w:rPr>
        <w:t xml:space="preserve"> </w:t>
      </w:r>
      <w:r>
        <w:rPr>
          <w:sz w:val="28"/>
        </w:rPr>
        <w:t>Guo</w:t>
      </w:r>
      <w:r>
        <w:rPr>
          <w:spacing w:val="-10"/>
          <w:sz w:val="28"/>
        </w:rPr>
        <w:t xml:space="preserve"> </w:t>
      </w:r>
      <w:r>
        <w:rPr>
          <w:sz w:val="28"/>
        </w:rPr>
        <w:t>S.</w:t>
      </w:r>
      <w:r>
        <w:rPr>
          <w:spacing w:val="-11"/>
          <w:sz w:val="28"/>
        </w:rPr>
        <w:t xml:space="preserve"> </w:t>
      </w:r>
      <w:r>
        <w:rPr>
          <w:sz w:val="28"/>
        </w:rPr>
        <w:t>Copulas</w:t>
      </w:r>
      <w:r>
        <w:rPr>
          <w:spacing w:val="-10"/>
          <w:sz w:val="28"/>
        </w:rPr>
        <w:t xml:space="preserve"> </w:t>
      </w:r>
      <w:r>
        <w:rPr>
          <w:sz w:val="28"/>
        </w:rPr>
        <w:t>and</w:t>
      </w:r>
      <w:r>
        <w:rPr>
          <w:spacing w:val="-9"/>
          <w:sz w:val="28"/>
        </w:rPr>
        <w:t xml:space="preserve"> </w:t>
      </w:r>
      <w:r>
        <w:rPr>
          <w:sz w:val="28"/>
        </w:rPr>
        <w:t>its</w:t>
      </w:r>
      <w:r>
        <w:rPr>
          <w:spacing w:val="-11"/>
          <w:sz w:val="28"/>
        </w:rPr>
        <w:t xml:space="preserve"> </w:t>
      </w:r>
      <w:r>
        <w:rPr>
          <w:sz w:val="28"/>
        </w:rPr>
        <w:t>application</w:t>
      </w:r>
      <w:r>
        <w:rPr>
          <w:spacing w:val="-13"/>
          <w:sz w:val="28"/>
        </w:rPr>
        <w:t xml:space="preserve"> </w:t>
      </w:r>
      <w:r>
        <w:rPr>
          <w:sz w:val="28"/>
        </w:rPr>
        <w:t>in</w:t>
      </w:r>
      <w:r>
        <w:rPr>
          <w:spacing w:val="-13"/>
          <w:sz w:val="28"/>
        </w:rPr>
        <w:t xml:space="preserve"> </w:t>
      </w:r>
      <w:r>
        <w:rPr>
          <w:sz w:val="28"/>
        </w:rPr>
        <w:t>hydrology</w:t>
      </w:r>
      <w:r>
        <w:rPr>
          <w:spacing w:val="-15"/>
          <w:sz w:val="28"/>
        </w:rPr>
        <w:t xml:space="preserve"> </w:t>
      </w:r>
      <w:r>
        <w:rPr>
          <w:sz w:val="28"/>
        </w:rPr>
        <w:t>and</w:t>
      </w:r>
      <w:r>
        <w:rPr>
          <w:spacing w:val="-12"/>
          <w:sz w:val="28"/>
        </w:rPr>
        <w:t xml:space="preserve"> </w:t>
      </w:r>
      <w:r>
        <w:rPr>
          <w:sz w:val="28"/>
        </w:rPr>
        <w:t>water</w:t>
      </w:r>
      <w:r>
        <w:rPr>
          <w:spacing w:val="-11"/>
          <w:sz w:val="28"/>
        </w:rPr>
        <w:t xml:space="preserve"> </w:t>
      </w:r>
      <w:r>
        <w:rPr>
          <w:spacing w:val="-2"/>
          <w:sz w:val="28"/>
        </w:rPr>
        <w:t>resources</w:t>
      </w:r>
    </w:p>
    <w:p w:rsidR="00166F4B" w:rsidRDefault="00166F4B" w:rsidP="00166F4B">
      <w:pPr>
        <w:pStyle w:val="a3"/>
        <w:spacing w:before="35"/>
        <w:jc w:val="both"/>
      </w:pPr>
      <w:r>
        <w:t>:</w:t>
      </w:r>
      <w:r>
        <w:rPr>
          <w:spacing w:val="-4"/>
        </w:rPr>
        <w:t xml:space="preserve"> </w:t>
      </w:r>
      <w:r>
        <w:t>monograph.</w:t>
      </w:r>
      <w:r>
        <w:rPr>
          <w:spacing w:val="-4"/>
        </w:rPr>
        <w:t xml:space="preserve"> </w:t>
      </w:r>
      <w:r>
        <w:t>Singapore</w:t>
      </w:r>
      <w:r>
        <w:rPr>
          <w:spacing w:val="-4"/>
        </w:rPr>
        <w:t xml:space="preserve"> </w:t>
      </w:r>
      <w:r>
        <w:t>:</w:t>
      </w:r>
      <w:r>
        <w:rPr>
          <w:spacing w:val="-4"/>
        </w:rPr>
        <w:t xml:space="preserve"> </w:t>
      </w:r>
      <w:r>
        <w:t>Springer,</w:t>
      </w:r>
      <w:r>
        <w:rPr>
          <w:spacing w:val="-8"/>
        </w:rPr>
        <w:t xml:space="preserve"> </w:t>
      </w:r>
      <w:r>
        <w:t>2019.</w:t>
      </w:r>
      <w:r>
        <w:rPr>
          <w:spacing w:val="-6"/>
        </w:rPr>
        <w:t xml:space="preserve"> </w:t>
      </w:r>
      <w:r>
        <w:t>290</w:t>
      </w:r>
      <w:r>
        <w:rPr>
          <w:spacing w:val="-3"/>
        </w:rPr>
        <w:t xml:space="preserve"> </w:t>
      </w:r>
      <w:r>
        <w:rPr>
          <w:spacing w:val="-5"/>
        </w:rPr>
        <w:t>p.</w:t>
      </w:r>
    </w:p>
    <w:p w:rsidR="00166F4B" w:rsidRDefault="00166F4B" w:rsidP="00166F4B">
      <w:pPr>
        <w:pStyle w:val="a5"/>
        <w:numPr>
          <w:ilvl w:val="0"/>
          <w:numId w:val="1"/>
        </w:numPr>
        <w:tabs>
          <w:tab w:val="left" w:pos="1363"/>
        </w:tabs>
        <w:spacing w:before="48" w:line="276" w:lineRule="auto"/>
        <w:ind w:right="114" w:firstLine="720"/>
        <w:jc w:val="both"/>
        <w:rPr>
          <w:sz w:val="28"/>
        </w:rPr>
      </w:pPr>
      <w:r>
        <w:rPr>
          <w:sz w:val="28"/>
        </w:rPr>
        <w:t>ДБН В.1.1–12:2014. Будівництво у сейсмічних районах України. [Чинний</w:t>
      </w:r>
      <w:r>
        <w:rPr>
          <w:spacing w:val="80"/>
          <w:sz w:val="28"/>
        </w:rPr>
        <w:t xml:space="preserve">  </w:t>
      </w:r>
      <w:r>
        <w:rPr>
          <w:sz w:val="28"/>
        </w:rPr>
        <w:t>від</w:t>
      </w:r>
      <w:r>
        <w:rPr>
          <w:spacing w:val="80"/>
          <w:sz w:val="28"/>
        </w:rPr>
        <w:t xml:space="preserve">  </w:t>
      </w:r>
      <w:r>
        <w:rPr>
          <w:sz w:val="28"/>
        </w:rPr>
        <w:t>2014–10–01].</w:t>
      </w:r>
      <w:r>
        <w:rPr>
          <w:spacing w:val="80"/>
          <w:sz w:val="28"/>
        </w:rPr>
        <w:t xml:space="preserve">  </w:t>
      </w:r>
      <w:r>
        <w:rPr>
          <w:sz w:val="28"/>
        </w:rPr>
        <w:t>Вид.</w:t>
      </w:r>
      <w:r>
        <w:rPr>
          <w:spacing w:val="80"/>
          <w:sz w:val="28"/>
        </w:rPr>
        <w:t xml:space="preserve">  </w:t>
      </w:r>
      <w:r>
        <w:rPr>
          <w:sz w:val="28"/>
        </w:rPr>
        <w:t>офіц.</w:t>
      </w:r>
      <w:r>
        <w:rPr>
          <w:spacing w:val="80"/>
          <w:sz w:val="28"/>
        </w:rPr>
        <w:t xml:space="preserve">  </w:t>
      </w:r>
      <w:r>
        <w:rPr>
          <w:sz w:val="28"/>
        </w:rPr>
        <w:t>Київ</w:t>
      </w:r>
      <w:r>
        <w:rPr>
          <w:spacing w:val="80"/>
          <w:sz w:val="28"/>
        </w:rPr>
        <w:t xml:space="preserve">  </w:t>
      </w:r>
      <w:r>
        <w:rPr>
          <w:sz w:val="28"/>
        </w:rPr>
        <w:t>:</w:t>
      </w:r>
      <w:r>
        <w:rPr>
          <w:spacing w:val="80"/>
          <w:sz w:val="28"/>
        </w:rPr>
        <w:t xml:space="preserve">  </w:t>
      </w:r>
      <w:r>
        <w:rPr>
          <w:sz w:val="28"/>
        </w:rPr>
        <w:t>Мінрегіон</w:t>
      </w:r>
      <w:r>
        <w:rPr>
          <w:spacing w:val="80"/>
          <w:sz w:val="28"/>
        </w:rPr>
        <w:t xml:space="preserve">  </w:t>
      </w:r>
      <w:r>
        <w:rPr>
          <w:sz w:val="28"/>
        </w:rPr>
        <w:t>України, ДП «Укрархбудінформ», 2014. 110 с. (Державні будівельні норми України).</w:t>
      </w:r>
    </w:p>
    <w:p w:rsidR="00166F4B" w:rsidRDefault="00166F4B" w:rsidP="00166F4B">
      <w:pPr>
        <w:pStyle w:val="a5"/>
        <w:numPr>
          <w:ilvl w:val="0"/>
          <w:numId w:val="1"/>
        </w:numPr>
        <w:tabs>
          <w:tab w:val="left" w:pos="1552"/>
        </w:tabs>
        <w:spacing w:line="276" w:lineRule="auto"/>
        <w:ind w:right="113" w:firstLine="720"/>
        <w:jc w:val="both"/>
        <w:rPr>
          <w:sz w:val="28"/>
        </w:rPr>
      </w:pPr>
      <w:r>
        <w:rPr>
          <w:sz w:val="28"/>
        </w:rPr>
        <w:t>ДБН В.1.2–2:2006. Навантаження і впливи. Норми проектування. [Чинний від 2007–01–01]. Вид. офіц. Київ : Сталь, 2006. 60 с. (Державні будівельні норми України).</w:t>
      </w:r>
    </w:p>
    <w:p w:rsidR="00166F4B" w:rsidRDefault="00166F4B" w:rsidP="00166F4B">
      <w:pPr>
        <w:pStyle w:val="a5"/>
        <w:numPr>
          <w:ilvl w:val="0"/>
          <w:numId w:val="1"/>
        </w:numPr>
        <w:tabs>
          <w:tab w:val="left" w:pos="1329"/>
        </w:tabs>
        <w:spacing w:before="1" w:line="276" w:lineRule="auto"/>
        <w:ind w:right="111" w:firstLine="720"/>
        <w:jc w:val="both"/>
        <w:rPr>
          <w:sz w:val="28"/>
        </w:rPr>
      </w:pPr>
      <w:r>
        <w:rPr>
          <w:sz w:val="28"/>
        </w:rPr>
        <w:t>ДБН В.1.2-14-2018. Загальні принципи забезпечення надійності та конструктивної безпеки будівель і споруд. [Чинний від 2019</w:t>
      </w:r>
      <w:r>
        <w:rPr>
          <w:sz w:val="16"/>
        </w:rPr>
        <w:t>–</w:t>
      </w:r>
      <w:r>
        <w:rPr>
          <w:sz w:val="28"/>
        </w:rPr>
        <w:t>01</w:t>
      </w:r>
      <w:r>
        <w:rPr>
          <w:sz w:val="16"/>
        </w:rPr>
        <w:t>–</w:t>
      </w:r>
      <w:r>
        <w:rPr>
          <w:sz w:val="28"/>
        </w:rPr>
        <w:t>01]. Вид. офіц. Київ</w:t>
      </w:r>
      <w:r>
        <w:rPr>
          <w:spacing w:val="-13"/>
          <w:sz w:val="28"/>
        </w:rPr>
        <w:t xml:space="preserve"> </w:t>
      </w:r>
      <w:r>
        <w:rPr>
          <w:sz w:val="28"/>
        </w:rPr>
        <w:t>:</w:t>
      </w:r>
      <w:r>
        <w:rPr>
          <w:spacing w:val="-9"/>
          <w:sz w:val="28"/>
        </w:rPr>
        <w:t xml:space="preserve"> </w:t>
      </w:r>
      <w:r>
        <w:rPr>
          <w:sz w:val="28"/>
        </w:rPr>
        <w:t>ДП</w:t>
      </w:r>
      <w:r>
        <w:rPr>
          <w:spacing w:val="-10"/>
          <w:sz w:val="28"/>
        </w:rPr>
        <w:t xml:space="preserve"> </w:t>
      </w:r>
      <w:r>
        <w:rPr>
          <w:sz w:val="28"/>
        </w:rPr>
        <w:t>«Укрархбудінформ»,</w:t>
      </w:r>
      <w:r>
        <w:rPr>
          <w:spacing w:val="-11"/>
          <w:sz w:val="28"/>
        </w:rPr>
        <w:t xml:space="preserve"> </w:t>
      </w:r>
      <w:r>
        <w:rPr>
          <w:sz w:val="28"/>
        </w:rPr>
        <w:t>2018.</w:t>
      </w:r>
      <w:r>
        <w:rPr>
          <w:spacing w:val="-13"/>
          <w:sz w:val="28"/>
        </w:rPr>
        <w:t xml:space="preserve"> </w:t>
      </w:r>
      <w:r>
        <w:rPr>
          <w:sz w:val="28"/>
        </w:rPr>
        <w:t>30</w:t>
      </w:r>
      <w:r>
        <w:rPr>
          <w:spacing w:val="-12"/>
          <w:sz w:val="28"/>
        </w:rPr>
        <w:t xml:space="preserve"> </w:t>
      </w:r>
      <w:r>
        <w:rPr>
          <w:sz w:val="28"/>
        </w:rPr>
        <w:t>с.</w:t>
      </w:r>
      <w:r>
        <w:rPr>
          <w:spacing w:val="-9"/>
          <w:sz w:val="28"/>
        </w:rPr>
        <w:t xml:space="preserve"> </w:t>
      </w:r>
      <w:r>
        <w:rPr>
          <w:sz w:val="28"/>
        </w:rPr>
        <w:t>(Державні</w:t>
      </w:r>
      <w:r>
        <w:rPr>
          <w:spacing w:val="-12"/>
          <w:sz w:val="28"/>
        </w:rPr>
        <w:t xml:space="preserve"> </w:t>
      </w:r>
      <w:r>
        <w:rPr>
          <w:sz w:val="28"/>
        </w:rPr>
        <w:t>будівельні</w:t>
      </w:r>
      <w:r>
        <w:rPr>
          <w:spacing w:val="-9"/>
          <w:sz w:val="28"/>
        </w:rPr>
        <w:t xml:space="preserve"> </w:t>
      </w:r>
      <w:r>
        <w:rPr>
          <w:sz w:val="28"/>
        </w:rPr>
        <w:t>норми</w:t>
      </w:r>
      <w:r>
        <w:rPr>
          <w:spacing w:val="-10"/>
          <w:sz w:val="28"/>
        </w:rPr>
        <w:t xml:space="preserve"> </w:t>
      </w:r>
      <w:r>
        <w:rPr>
          <w:sz w:val="28"/>
        </w:rPr>
        <w:t>України).</w:t>
      </w:r>
    </w:p>
    <w:p w:rsidR="00166F4B" w:rsidRDefault="00166F4B" w:rsidP="00166F4B">
      <w:pPr>
        <w:pStyle w:val="a5"/>
        <w:numPr>
          <w:ilvl w:val="0"/>
          <w:numId w:val="1"/>
        </w:numPr>
        <w:tabs>
          <w:tab w:val="left" w:pos="1236"/>
        </w:tabs>
        <w:spacing w:before="1" w:line="276" w:lineRule="auto"/>
        <w:ind w:right="110" w:firstLine="720"/>
        <w:jc w:val="both"/>
        <w:rPr>
          <w:sz w:val="28"/>
        </w:rPr>
      </w:pPr>
      <w:r>
        <w:rPr>
          <w:sz w:val="28"/>
        </w:rPr>
        <w:t>ДБН</w:t>
      </w:r>
      <w:r>
        <w:rPr>
          <w:spacing w:val="-18"/>
          <w:sz w:val="28"/>
        </w:rPr>
        <w:t xml:space="preserve"> </w:t>
      </w:r>
      <w:r>
        <w:rPr>
          <w:sz w:val="28"/>
        </w:rPr>
        <w:t>В.2.4-3:2010.</w:t>
      </w:r>
      <w:r>
        <w:rPr>
          <w:spacing w:val="-17"/>
          <w:sz w:val="28"/>
        </w:rPr>
        <w:t xml:space="preserve"> </w:t>
      </w:r>
      <w:r>
        <w:rPr>
          <w:sz w:val="28"/>
        </w:rPr>
        <w:t>Гідротехнічні</w:t>
      </w:r>
      <w:r>
        <w:rPr>
          <w:spacing w:val="-18"/>
          <w:sz w:val="28"/>
        </w:rPr>
        <w:t xml:space="preserve"> </w:t>
      </w:r>
      <w:r>
        <w:rPr>
          <w:sz w:val="28"/>
        </w:rPr>
        <w:t>споруди.</w:t>
      </w:r>
      <w:r>
        <w:rPr>
          <w:spacing w:val="-17"/>
          <w:sz w:val="28"/>
        </w:rPr>
        <w:t xml:space="preserve"> </w:t>
      </w:r>
      <w:r>
        <w:rPr>
          <w:sz w:val="28"/>
        </w:rPr>
        <w:t>Основні</w:t>
      </w:r>
      <w:r>
        <w:rPr>
          <w:spacing w:val="-18"/>
          <w:sz w:val="28"/>
        </w:rPr>
        <w:t xml:space="preserve"> </w:t>
      </w:r>
      <w:r>
        <w:rPr>
          <w:sz w:val="28"/>
        </w:rPr>
        <w:t>положення.</w:t>
      </w:r>
      <w:r>
        <w:rPr>
          <w:spacing w:val="-17"/>
          <w:sz w:val="28"/>
        </w:rPr>
        <w:t xml:space="preserve"> </w:t>
      </w:r>
      <w:r>
        <w:rPr>
          <w:sz w:val="28"/>
        </w:rPr>
        <w:t>[Чинний від</w:t>
      </w:r>
      <w:r>
        <w:rPr>
          <w:spacing w:val="-4"/>
          <w:sz w:val="28"/>
        </w:rPr>
        <w:t xml:space="preserve"> </w:t>
      </w:r>
      <w:r>
        <w:rPr>
          <w:sz w:val="28"/>
        </w:rPr>
        <w:t>2011</w:t>
      </w:r>
      <w:r>
        <w:t>–</w:t>
      </w:r>
      <w:r>
        <w:rPr>
          <w:sz w:val="28"/>
        </w:rPr>
        <w:t>01</w:t>
      </w:r>
      <w:r>
        <w:t>–</w:t>
      </w:r>
      <w:r>
        <w:rPr>
          <w:sz w:val="28"/>
        </w:rPr>
        <w:t>01].</w:t>
      </w:r>
      <w:r>
        <w:rPr>
          <w:spacing w:val="-5"/>
          <w:sz w:val="28"/>
        </w:rPr>
        <w:t xml:space="preserve"> </w:t>
      </w:r>
      <w:r>
        <w:rPr>
          <w:sz w:val="28"/>
        </w:rPr>
        <w:t>Вид.</w:t>
      </w:r>
      <w:r>
        <w:rPr>
          <w:spacing w:val="-6"/>
          <w:sz w:val="28"/>
        </w:rPr>
        <w:t xml:space="preserve"> </w:t>
      </w:r>
      <w:r>
        <w:rPr>
          <w:sz w:val="28"/>
        </w:rPr>
        <w:t>офіц.</w:t>
      </w:r>
      <w:r>
        <w:rPr>
          <w:spacing w:val="-4"/>
          <w:sz w:val="28"/>
        </w:rPr>
        <w:t xml:space="preserve"> </w:t>
      </w:r>
      <w:r>
        <w:rPr>
          <w:sz w:val="28"/>
        </w:rPr>
        <w:t>Київ</w:t>
      </w:r>
      <w:r>
        <w:rPr>
          <w:spacing w:val="-6"/>
          <w:sz w:val="28"/>
        </w:rPr>
        <w:t xml:space="preserve"> </w:t>
      </w:r>
      <w:r>
        <w:rPr>
          <w:sz w:val="28"/>
        </w:rPr>
        <w:t>:</w:t>
      </w:r>
      <w:r>
        <w:rPr>
          <w:spacing w:val="-4"/>
          <w:sz w:val="28"/>
        </w:rPr>
        <w:t xml:space="preserve"> </w:t>
      </w:r>
      <w:r>
        <w:rPr>
          <w:sz w:val="28"/>
        </w:rPr>
        <w:t>ДП</w:t>
      </w:r>
      <w:r>
        <w:rPr>
          <w:spacing w:val="-5"/>
          <w:sz w:val="28"/>
        </w:rPr>
        <w:t xml:space="preserve"> </w:t>
      </w:r>
      <w:r>
        <w:rPr>
          <w:sz w:val="28"/>
        </w:rPr>
        <w:t>«Укрархбудінформ»,</w:t>
      </w:r>
      <w:r>
        <w:rPr>
          <w:spacing w:val="-6"/>
          <w:sz w:val="28"/>
        </w:rPr>
        <w:t xml:space="preserve"> </w:t>
      </w:r>
      <w:r>
        <w:rPr>
          <w:sz w:val="28"/>
        </w:rPr>
        <w:t>2010.</w:t>
      </w:r>
      <w:r>
        <w:rPr>
          <w:spacing w:val="-6"/>
          <w:sz w:val="28"/>
        </w:rPr>
        <w:t xml:space="preserve"> </w:t>
      </w:r>
      <w:r>
        <w:rPr>
          <w:sz w:val="28"/>
        </w:rPr>
        <w:t>37</w:t>
      </w:r>
      <w:r>
        <w:rPr>
          <w:spacing w:val="-5"/>
          <w:sz w:val="28"/>
        </w:rPr>
        <w:t xml:space="preserve"> </w:t>
      </w:r>
      <w:r>
        <w:rPr>
          <w:sz w:val="28"/>
        </w:rPr>
        <w:t>с.</w:t>
      </w:r>
      <w:r>
        <w:rPr>
          <w:spacing w:val="-4"/>
          <w:sz w:val="28"/>
        </w:rPr>
        <w:t xml:space="preserve"> </w:t>
      </w:r>
      <w:r>
        <w:rPr>
          <w:sz w:val="28"/>
        </w:rPr>
        <w:t>(Державні будівельні норми України).</w:t>
      </w:r>
    </w:p>
    <w:p w:rsidR="00166F4B" w:rsidRDefault="00166F4B" w:rsidP="00166F4B">
      <w:pPr>
        <w:pStyle w:val="a5"/>
        <w:numPr>
          <w:ilvl w:val="0"/>
          <w:numId w:val="1"/>
        </w:numPr>
        <w:tabs>
          <w:tab w:val="left" w:pos="1284"/>
        </w:tabs>
        <w:spacing w:line="276" w:lineRule="auto"/>
        <w:ind w:right="107" w:firstLine="720"/>
        <w:jc w:val="both"/>
        <w:rPr>
          <w:sz w:val="28"/>
        </w:rPr>
      </w:pPr>
      <w:r>
        <w:rPr>
          <w:sz w:val="28"/>
        </w:rPr>
        <w:t>ДБН В.1.2-5:2007. Науково-технічний супровід будівельних об’єктів. [Чинний від 2008–01–01]. Вид. офіц. Київ : ДП «Укрархбудінформ», 2007. 16 с. (Державні будівельні норми України).</w:t>
      </w:r>
    </w:p>
    <w:p w:rsidR="00166F4B" w:rsidRDefault="00166F4B" w:rsidP="00166F4B">
      <w:pPr>
        <w:pStyle w:val="a5"/>
        <w:numPr>
          <w:ilvl w:val="0"/>
          <w:numId w:val="1"/>
        </w:numPr>
        <w:tabs>
          <w:tab w:val="left" w:pos="1274"/>
        </w:tabs>
        <w:spacing w:before="1" w:line="276" w:lineRule="auto"/>
        <w:ind w:right="111" w:firstLine="720"/>
        <w:jc w:val="both"/>
        <w:rPr>
          <w:sz w:val="28"/>
        </w:rPr>
      </w:pPr>
      <w:r>
        <w:rPr>
          <w:sz w:val="28"/>
        </w:rPr>
        <w:t>ДСТУ Б. В. 1.1-27: 2010. Будівельна кліматологія. [Чинний від 2011– 11–01]. Вид. офіц. Київ : ДП «Укрархбудінформ», 2011. 124 с.</w:t>
      </w:r>
    </w:p>
    <w:p w:rsidR="00166F4B" w:rsidRDefault="00166F4B" w:rsidP="00166F4B">
      <w:pPr>
        <w:spacing w:line="276" w:lineRule="auto"/>
        <w:jc w:val="both"/>
        <w:rPr>
          <w:sz w:val="28"/>
        </w:rPr>
        <w:sectPr w:rsidR="00166F4B">
          <w:pgSz w:w="11920" w:h="16850"/>
          <w:pgMar w:top="1060" w:right="1020" w:bottom="1340" w:left="1020" w:header="0" w:footer="1142" w:gutter="0"/>
          <w:cols w:space="720"/>
        </w:sectPr>
      </w:pPr>
    </w:p>
    <w:p w:rsidR="00166F4B" w:rsidRDefault="00166F4B" w:rsidP="00166F4B">
      <w:pPr>
        <w:pStyle w:val="a5"/>
        <w:numPr>
          <w:ilvl w:val="0"/>
          <w:numId w:val="1"/>
        </w:numPr>
        <w:tabs>
          <w:tab w:val="left" w:pos="1487"/>
        </w:tabs>
        <w:spacing w:before="65" w:line="276" w:lineRule="auto"/>
        <w:ind w:right="110" w:firstLine="720"/>
        <w:jc w:val="both"/>
        <w:rPr>
          <w:sz w:val="28"/>
        </w:rPr>
      </w:pPr>
      <w:r>
        <w:rPr>
          <w:sz w:val="28"/>
        </w:rPr>
        <w:lastRenderedPageBreak/>
        <w:t>ДСТУ-Н Б В.1.2-13:2008. Настанова. Основи проектування конструкцій. (EN 1990:2002, IDN). [Чинний від 2009</w:t>
      </w:r>
      <w:r>
        <w:rPr>
          <w:sz w:val="16"/>
        </w:rPr>
        <w:t>–</w:t>
      </w:r>
      <w:r>
        <w:rPr>
          <w:sz w:val="28"/>
        </w:rPr>
        <w:t>07</w:t>
      </w:r>
      <w:r>
        <w:rPr>
          <w:sz w:val="16"/>
        </w:rPr>
        <w:t>–</w:t>
      </w:r>
      <w:r>
        <w:rPr>
          <w:sz w:val="28"/>
        </w:rPr>
        <w:t>01]. Вид. офіц. Київ : Мінрегіонбуд України, 2009. 81 с. (Національний стандарт України).</w:t>
      </w:r>
    </w:p>
    <w:p w:rsidR="00166F4B" w:rsidRDefault="00166F4B" w:rsidP="00166F4B">
      <w:pPr>
        <w:pStyle w:val="a5"/>
        <w:numPr>
          <w:ilvl w:val="0"/>
          <w:numId w:val="1"/>
        </w:numPr>
        <w:tabs>
          <w:tab w:val="left" w:pos="1253"/>
        </w:tabs>
        <w:spacing w:line="276" w:lineRule="auto"/>
        <w:ind w:right="110" w:firstLine="720"/>
        <w:jc w:val="both"/>
        <w:rPr>
          <w:sz w:val="28"/>
        </w:rPr>
      </w:pPr>
      <w:r>
        <w:rPr>
          <w:sz w:val="28"/>
        </w:rPr>
        <w:t>Buildings.</w:t>
      </w:r>
      <w:r>
        <w:rPr>
          <w:spacing w:val="-1"/>
          <w:sz w:val="28"/>
        </w:rPr>
        <w:t xml:space="preserve"> </w:t>
      </w:r>
      <w:r>
        <w:rPr>
          <w:sz w:val="28"/>
        </w:rPr>
        <w:t>Chapter</w:t>
      </w:r>
      <w:r>
        <w:rPr>
          <w:spacing w:val="-1"/>
          <w:sz w:val="28"/>
        </w:rPr>
        <w:t xml:space="preserve"> </w:t>
      </w:r>
      <w:r>
        <w:rPr>
          <w:sz w:val="28"/>
        </w:rPr>
        <w:t>13:</w:t>
      </w:r>
      <w:r>
        <w:rPr>
          <w:spacing w:val="-1"/>
          <w:sz w:val="28"/>
        </w:rPr>
        <w:t xml:space="preserve"> </w:t>
      </w:r>
      <w:r>
        <w:rPr>
          <w:sz w:val="28"/>
        </w:rPr>
        <w:t>Seismic</w:t>
      </w:r>
      <w:r>
        <w:rPr>
          <w:spacing w:val="-1"/>
          <w:sz w:val="28"/>
        </w:rPr>
        <w:t xml:space="preserve"> </w:t>
      </w:r>
      <w:r>
        <w:rPr>
          <w:sz w:val="28"/>
        </w:rPr>
        <w:t>Design</w:t>
      </w:r>
      <w:r>
        <w:rPr>
          <w:spacing w:val="-1"/>
          <w:sz w:val="28"/>
        </w:rPr>
        <w:t xml:space="preserve"> </w:t>
      </w:r>
      <w:r>
        <w:rPr>
          <w:sz w:val="28"/>
        </w:rPr>
        <w:t>:</w:t>
      </w:r>
      <w:r>
        <w:rPr>
          <w:spacing w:val="-1"/>
          <w:sz w:val="28"/>
        </w:rPr>
        <w:t xml:space="preserve"> </w:t>
      </w:r>
      <w:r>
        <w:rPr>
          <w:sz w:val="28"/>
        </w:rPr>
        <w:t>Design</w:t>
      </w:r>
      <w:r>
        <w:rPr>
          <w:spacing w:val="-1"/>
          <w:sz w:val="28"/>
        </w:rPr>
        <w:t xml:space="preserve"> </w:t>
      </w:r>
      <w:r>
        <w:rPr>
          <w:sz w:val="28"/>
        </w:rPr>
        <w:t>standards</w:t>
      </w:r>
      <w:r>
        <w:rPr>
          <w:spacing w:val="-1"/>
          <w:sz w:val="28"/>
        </w:rPr>
        <w:t xml:space="preserve"> </w:t>
      </w:r>
      <w:r>
        <w:rPr>
          <w:sz w:val="28"/>
        </w:rPr>
        <w:t>No.</w:t>
      </w:r>
      <w:r>
        <w:rPr>
          <w:spacing w:val="-1"/>
          <w:sz w:val="28"/>
        </w:rPr>
        <w:t xml:space="preserve"> </w:t>
      </w:r>
      <w:r>
        <w:rPr>
          <w:sz w:val="28"/>
        </w:rPr>
        <w:t>9,</w:t>
      </w:r>
      <w:r>
        <w:rPr>
          <w:spacing w:val="-1"/>
          <w:sz w:val="28"/>
        </w:rPr>
        <w:t xml:space="preserve"> </w:t>
      </w:r>
      <w:r>
        <w:rPr>
          <w:sz w:val="28"/>
        </w:rPr>
        <w:t xml:space="preserve">DS-9(13)- 1: Phase 4 (Final). </w:t>
      </w:r>
      <w:r>
        <w:rPr>
          <w:rFonts w:ascii="Symbol" w:hAnsi="Symbol"/>
          <w:sz w:val="28"/>
        </w:rPr>
        <w:t></w:t>
      </w:r>
      <w:r>
        <w:rPr>
          <w:sz w:val="28"/>
        </w:rPr>
        <w:t>Existing from 2012-10-01</w:t>
      </w:r>
      <w:r>
        <w:rPr>
          <w:rFonts w:ascii="Symbol" w:hAnsi="Symbol"/>
          <w:sz w:val="28"/>
        </w:rPr>
        <w:t></w:t>
      </w:r>
      <w:r>
        <w:rPr>
          <w:sz w:val="28"/>
        </w:rPr>
        <w:t>. Washington : U.S. Department of interior bureau of reclamation, 2012. 47 p. (Design standards signature sheet).</w:t>
      </w:r>
    </w:p>
    <w:p w:rsidR="00166F4B" w:rsidRDefault="00166F4B" w:rsidP="00166F4B">
      <w:pPr>
        <w:pStyle w:val="a5"/>
        <w:numPr>
          <w:ilvl w:val="0"/>
          <w:numId w:val="1"/>
        </w:numPr>
        <w:tabs>
          <w:tab w:val="left" w:pos="1259"/>
        </w:tabs>
        <w:spacing w:before="1" w:line="278" w:lineRule="auto"/>
        <w:ind w:right="115" w:firstLine="720"/>
        <w:jc w:val="both"/>
        <w:rPr>
          <w:sz w:val="28"/>
        </w:rPr>
      </w:pPr>
      <w:r>
        <w:rPr>
          <w:sz w:val="28"/>
        </w:rPr>
        <w:t>Dam Safety Program Report 2015-2016 (F2016). Vancouver : Dam Safety, 2016. 42 p. (Annual Report 2015 / 2016).</w:t>
      </w:r>
    </w:p>
    <w:p w:rsidR="00166F4B" w:rsidRDefault="00166F4B" w:rsidP="00166F4B">
      <w:pPr>
        <w:pStyle w:val="a5"/>
        <w:numPr>
          <w:ilvl w:val="0"/>
          <w:numId w:val="1"/>
        </w:numPr>
        <w:tabs>
          <w:tab w:val="left" w:pos="1327"/>
        </w:tabs>
        <w:spacing w:line="276" w:lineRule="auto"/>
        <w:ind w:right="118" w:firstLine="720"/>
        <w:jc w:val="both"/>
        <w:rPr>
          <w:sz w:val="28"/>
        </w:rPr>
      </w:pPr>
      <w:r>
        <w:rPr>
          <w:sz w:val="28"/>
        </w:rPr>
        <w:t>Еngineering guidelines for the evaluation of нydropower : Chapter 1. Washington : FERC, 2016. 77 р. (Federal energy regulatory commission, Division of dam safety and inspections).</w:t>
      </w:r>
    </w:p>
    <w:p w:rsidR="00166F4B" w:rsidRDefault="00166F4B" w:rsidP="00166F4B">
      <w:pPr>
        <w:pStyle w:val="a5"/>
        <w:numPr>
          <w:ilvl w:val="0"/>
          <w:numId w:val="1"/>
        </w:numPr>
        <w:tabs>
          <w:tab w:val="left" w:pos="1324"/>
        </w:tabs>
        <w:spacing w:line="276" w:lineRule="auto"/>
        <w:ind w:right="114" w:firstLine="720"/>
        <w:jc w:val="both"/>
        <w:rPr>
          <w:sz w:val="28"/>
        </w:rPr>
      </w:pPr>
      <w:r>
        <w:rPr>
          <w:sz w:val="28"/>
        </w:rPr>
        <w:t>Dam Incedent and Failures : First Edition. FEMA P-946. Dewberry : RAMPP, URS Corporation, 2013. 145 р.</w:t>
      </w:r>
    </w:p>
    <w:p w:rsidR="00166F4B" w:rsidRDefault="00166F4B" w:rsidP="00166F4B">
      <w:pPr>
        <w:pStyle w:val="a5"/>
        <w:numPr>
          <w:ilvl w:val="0"/>
          <w:numId w:val="1"/>
        </w:numPr>
        <w:tabs>
          <w:tab w:val="left" w:pos="1253"/>
        </w:tabs>
        <w:spacing w:line="276" w:lineRule="auto"/>
        <w:ind w:right="120" w:firstLine="720"/>
        <w:jc w:val="both"/>
        <w:rPr>
          <w:sz w:val="28"/>
        </w:rPr>
      </w:pPr>
      <w:r>
        <w:rPr>
          <w:sz w:val="28"/>
        </w:rPr>
        <w:t>Federal</w:t>
      </w:r>
      <w:r>
        <w:rPr>
          <w:spacing w:val="-2"/>
          <w:sz w:val="28"/>
        </w:rPr>
        <w:t xml:space="preserve"> </w:t>
      </w:r>
      <w:r>
        <w:rPr>
          <w:sz w:val="28"/>
        </w:rPr>
        <w:t>Guidelines</w:t>
      </w:r>
      <w:r>
        <w:rPr>
          <w:spacing w:val="-2"/>
          <w:sz w:val="28"/>
        </w:rPr>
        <w:t xml:space="preserve"> </w:t>
      </w:r>
      <w:r>
        <w:rPr>
          <w:sz w:val="28"/>
        </w:rPr>
        <w:t>for</w:t>
      </w:r>
      <w:r>
        <w:rPr>
          <w:spacing w:val="-3"/>
          <w:sz w:val="28"/>
        </w:rPr>
        <w:t xml:space="preserve"> </w:t>
      </w:r>
      <w:r>
        <w:rPr>
          <w:sz w:val="28"/>
        </w:rPr>
        <w:t>Dam</w:t>
      </w:r>
      <w:r>
        <w:rPr>
          <w:spacing w:val="-8"/>
          <w:sz w:val="28"/>
        </w:rPr>
        <w:t xml:space="preserve"> </w:t>
      </w:r>
      <w:r>
        <w:rPr>
          <w:sz w:val="28"/>
        </w:rPr>
        <w:t>Safety</w:t>
      </w:r>
      <w:r>
        <w:rPr>
          <w:spacing w:val="-6"/>
          <w:sz w:val="28"/>
        </w:rPr>
        <w:t xml:space="preserve"> </w:t>
      </w:r>
      <w:r>
        <w:rPr>
          <w:sz w:val="28"/>
        </w:rPr>
        <w:t>:</w:t>
      </w:r>
      <w:r>
        <w:rPr>
          <w:spacing w:val="-3"/>
          <w:sz w:val="28"/>
        </w:rPr>
        <w:t xml:space="preserve"> </w:t>
      </w:r>
      <w:r>
        <w:rPr>
          <w:sz w:val="28"/>
        </w:rPr>
        <w:t>Emergency</w:t>
      </w:r>
      <w:r>
        <w:rPr>
          <w:spacing w:val="-7"/>
          <w:sz w:val="28"/>
        </w:rPr>
        <w:t xml:space="preserve"> </w:t>
      </w:r>
      <w:r>
        <w:rPr>
          <w:sz w:val="28"/>
        </w:rPr>
        <w:t>Action</w:t>
      </w:r>
      <w:r>
        <w:rPr>
          <w:spacing w:val="-2"/>
          <w:sz w:val="28"/>
        </w:rPr>
        <w:t xml:space="preserve"> </w:t>
      </w:r>
      <w:r>
        <w:rPr>
          <w:sz w:val="28"/>
        </w:rPr>
        <w:t>Planning</w:t>
      </w:r>
      <w:r>
        <w:rPr>
          <w:spacing w:val="-2"/>
          <w:sz w:val="28"/>
        </w:rPr>
        <w:t xml:space="preserve"> </w:t>
      </w:r>
      <w:r>
        <w:rPr>
          <w:sz w:val="28"/>
        </w:rPr>
        <w:t>for</w:t>
      </w:r>
      <w:r>
        <w:rPr>
          <w:spacing w:val="-3"/>
          <w:sz w:val="28"/>
        </w:rPr>
        <w:t xml:space="preserve"> </w:t>
      </w:r>
      <w:r>
        <w:rPr>
          <w:sz w:val="28"/>
        </w:rPr>
        <w:t>Dams. FEMA 64. Dewberry : RAMPP, URS Corporation, 2013. 73 р.</w:t>
      </w:r>
    </w:p>
    <w:p w:rsidR="00166F4B" w:rsidRDefault="00166F4B" w:rsidP="00166F4B">
      <w:pPr>
        <w:pStyle w:val="a5"/>
        <w:numPr>
          <w:ilvl w:val="0"/>
          <w:numId w:val="1"/>
        </w:numPr>
        <w:tabs>
          <w:tab w:val="left" w:pos="1305"/>
        </w:tabs>
        <w:spacing w:line="276" w:lineRule="auto"/>
        <w:ind w:right="110" w:firstLine="720"/>
        <w:jc w:val="both"/>
        <w:rPr>
          <w:sz w:val="28"/>
        </w:rPr>
      </w:pPr>
      <w:r>
        <w:rPr>
          <w:sz w:val="28"/>
        </w:rPr>
        <w:t>Federal Guidelines for Dam Safety Risk Management. FEMA P-1025 : Catalog №14353-1. Dewberry : RAMPP, URS Corporation, 2015. 49 р.</w:t>
      </w:r>
    </w:p>
    <w:p w:rsidR="00166F4B" w:rsidRDefault="00166F4B" w:rsidP="00166F4B">
      <w:pPr>
        <w:pStyle w:val="a5"/>
        <w:numPr>
          <w:ilvl w:val="0"/>
          <w:numId w:val="1"/>
        </w:numPr>
        <w:tabs>
          <w:tab w:val="left" w:pos="1293"/>
        </w:tabs>
        <w:spacing w:line="278" w:lineRule="auto"/>
        <w:ind w:right="119" w:firstLine="720"/>
        <w:jc w:val="both"/>
        <w:rPr>
          <w:sz w:val="28"/>
        </w:rPr>
      </w:pPr>
      <w:r>
        <w:rPr>
          <w:sz w:val="28"/>
        </w:rPr>
        <w:t>General principles on reliability for structures : IS0 2394. Genevа : ISO copyright office Case postale 56 l CH-1211, 2015. 112 р. (Іnternational standard).</w:t>
      </w:r>
    </w:p>
    <w:p w:rsidR="00166F4B" w:rsidRDefault="00166F4B" w:rsidP="00166F4B">
      <w:pPr>
        <w:pStyle w:val="a5"/>
        <w:numPr>
          <w:ilvl w:val="0"/>
          <w:numId w:val="1"/>
        </w:numPr>
        <w:tabs>
          <w:tab w:val="left" w:pos="1250"/>
        </w:tabs>
        <w:spacing w:line="276" w:lineRule="auto"/>
        <w:ind w:right="112" w:firstLine="720"/>
        <w:jc w:val="both"/>
        <w:rPr>
          <w:sz w:val="28"/>
        </w:rPr>
      </w:pPr>
      <w:r>
        <w:rPr>
          <w:sz w:val="28"/>
        </w:rPr>
        <w:t>General</w:t>
      </w:r>
      <w:r>
        <w:rPr>
          <w:spacing w:val="-5"/>
          <w:sz w:val="28"/>
        </w:rPr>
        <w:t xml:space="preserve"> </w:t>
      </w:r>
      <w:r>
        <w:rPr>
          <w:sz w:val="28"/>
        </w:rPr>
        <w:t>principles</w:t>
      </w:r>
      <w:r>
        <w:rPr>
          <w:spacing w:val="-5"/>
          <w:sz w:val="28"/>
        </w:rPr>
        <w:t xml:space="preserve"> </w:t>
      </w:r>
      <w:r>
        <w:rPr>
          <w:sz w:val="28"/>
        </w:rPr>
        <w:t>on</w:t>
      </w:r>
      <w:r>
        <w:rPr>
          <w:spacing w:val="-5"/>
          <w:sz w:val="28"/>
        </w:rPr>
        <w:t xml:space="preserve"> </w:t>
      </w:r>
      <w:r>
        <w:rPr>
          <w:sz w:val="28"/>
        </w:rPr>
        <w:t>reliability</w:t>
      </w:r>
      <w:r>
        <w:rPr>
          <w:spacing w:val="-9"/>
          <w:sz w:val="28"/>
        </w:rPr>
        <w:t xml:space="preserve"> </w:t>
      </w:r>
      <w:r>
        <w:rPr>
          <w:sz w:val="28"/>
        </w:rPr>
        <w:t>for</w:t>
      </w:r>
      <w:r>
        <w:rPr>
          <w:spacing w:val="-5"/>
          <w:sz w:val="28"/>
        </w:rPr>
        <w:t xml:space="preserve"> </w:t>
      </w:r>
      <w:r>
        <w:rPr>
          <w:sz w:val="28"/>
        </w:rPr>
        <w:t>structures. Sydney</w:t>
      </w:r>
      <w:r>
        <w:rPr>
          <w:spacing w:val="-9"/>
          <w:sz w:val="28"/>
        </w:rPr>
        <w:t xml:space="preserve"> </w:t>
      </w:r>
      <w:r>
        <w:rPr>
          <w:sz w:val="28"/>
        </w:rPr>
        <w:t>:</w:t>
      </w:r>
      <w:r>
        <w:rPr>
          <w:spacing w:val="-5"/>
          <w:sz w:val="28"/>
        </w:rPr>
        <w:t xml:space="preserve"> </w:t>
      </w:r>
      <w:r>
        <w:rPr>
          <w:sz w:val="28"/>
        </w:rPr>
        <w:t>Standards</w:t>
      </w:r>
      <w:r>
        <w:rPr>
          <w:spacing w:val="-5"/>
          <w:sz w:val="28"/>
        </w:rPr>
        <w:t xml:space="preserve"> </w:t>
      </w:r>
      <w:r>
        <w:rPr>
          <w:sz w:val="28"/>
        </w:rPr>
        <w:t>Australia Limited, 2017. 114 p. (Australian Standard).</w:t>
      </w:r>
    </w:p>
    <w:p w:rsidR="00166F4B" w:rsidRDefault="00166F4B" w:rsidP="00166F4B">
      <w:pPr>
        <w:pStyle w:val="a5"/>
        <w:numPr>
          <w:ilvl w:val="0"/>
          <w:numId w:val="1"/>
        </w:numPr>
        <w:tabs>
          <w:tab w:val="left" w:pos="1255"/>
        </w:tabs>
        <w:spacing w:line="276" w:lineRule="auto"/>
        <w:ind w:right="121" w:firstLine="720"/>
        <w:jc w:val="both"/>
        <w:rPr>
          <w:sz w:val="28"/>
        </w:rPr>
      </w:pPr>
      <w:r>
        <w:rPr>
          <w:sz w:val="28"/>
        </w:rPr>
        <w:t>Guide</w:t>
      </w:r>
      <w:r>
        <w:rPr>
          <w:spacing w:val="-3"/>
          <w:sz w:val="28"/>
        </w:rPr>
        <w:t xml:space="preserve"> </w:t>
      </w:r>
      <w:r>
        <w:rPr>
          <w:sz w:val="28"/>
        </w:rPr>
        <w:t>to</w:t>
      </w:r>
      <w:r>
        <w:rPr>
          <w:spacing w:val="-2"/>
          <w:sz w:val="28"/>
        </w:rPr>
        <w:t xml:space="preserve"> </w:t>
      </w:r>
      <w:r>
        <w:rPr>
          <w:sz w:val="28"/>
        </w:rPr>
        <w:t>interpretive</w:t>
      </w:r>
      <w:r>
        <w:rPr>
          <w:spacing w:val="-4"/>
          <w:sz w:val="28"/>
        </w:rPr>
        <w:t xml:space="preserve"> </w:t>
      </w:r>
      <w:r>
        <w:rPr>
          <w:sz w:val="28"/>
        </w:rPr>
        <w:t>documents</w:t>
      </w:r>
      <w:r>
        <w:rPr>
          <w:spacing w:val="-2"/>
          <w:sz w:val="28"/>
        </w:rPr>
        <w:t xml:space="preserve"> </w:t>
      </w:r>
      <w:r>
        <w:rPr>
          <w:sz w:val="28"/>
        </w:rPr>
        <w:t>for</w:t>
      </w:r>
      <w:r>
        <w:rPr>
          <w:spacing w:val="-3"/>
          <w:sz w:val="28"/>
        </w:rPr>
        <w:t xml:space="preserve"> </w:t>
      </w:r>
      <w:r>
        <w:rPr>
          <w:sz w:val="28"/>
        </w:rPr>
        <w:t>essential</w:t>
      </w:r>
      <w:r>
        <w:rPr>
          <w:spacing w:val="-2"/>
          <w:sz w:val="28"/>
        </w:rPr>
        <w:t xml:space="preserve"> </w:t>
      </w:r>
      <w:r>
        <w:rPr>
          <w:sz w:val="28"/>
        </w:rPr>
        <w:t>requirements,</w:t>
      </w:r>
      <w:r>
        <w:rPr>
          <w:spacing w:val="-3"/>
          <w:sz w:val="28"/>
        </w:rPr>
        <w:t xml:space="preserve"> </w:t>
      </w:r>
      <w:r>
        <w:rPr>
          <w:sz w:val="28"/>
        </w:rPr>
        <w:t>to</w:t>
      </w:r>
      <w:r>
        <w:rPr>
          <w:spacing w:val="-2"/>
          <w:sz w:val="28"/>
        </w:rPr>
        <w:t xml:space="preserve"> </w:t>
      </w:r>
      <w:r>
        <w:rPr>
          <w:sz w:val="28"/>
        </w:rPr>
        <w:t>EN</w:t>
      </w:r>
      <w:r>
        <w:rPr>
          <w:spacing w:val="-3"/>
          <w:sz w:val="28"/>
        </w:rPr>
        <w:t xml:space="preserve"> </w:t>
      </w:r>
      <w:r>
        <w:rPr>
          <w:sz w:val="28"/>
        </w:rPr>
        <w:t>1990</w:t>
      </w:r>
      <w:r>
        <w:rPr>
          <w:spacing w:val="-2"/>
          <w:sz w:val="28"/>
        </w:rPr>
        <w:t xml:space="preserve"> </w:t>
      </w:r>
      <w:r>
        <w:rPr>
          <w:sz w:val="28"/>
        </w:rPr>
        <w:t>and to</w:t>
      </w:r>
      <w:r>
        <w:rPr>
          <w:spacing w:val="37"/>
          <w:sz w:val="28"/>
        </w:rPr>
        <w:t xml:space="preserve"> </w:t>
      </w:r>
      <w:r>
        <w:rPr>
          <w:sz w:val="28"/>
        </w:rPr>
        <w:t>application</w:t>
      </w:r>
      <w:r>
        <w:rPr>
          <w:spacing w:val="37"/>
          <w:sz w:val="28"/>
        </w:rPr>
        <w:t xml:space="preserve"> </w:t>
      </w:r>
      <w:r>
        <w:rPr>
          <w:sz w:val="28"/>
        </w:rPr>
        <w:t>and</w:t>
      </w:r>
      <w:r>
        <w:rPr>
          <w:spacing w:val="37"/>
          <w:sz w:val="28"/>
        </w:rPr>
        <w:t xml:space="preserve"> </w:t>
      </w:r>
      <w:r>
        <w:rPr>
          <w:sz w:val="28"/>
        </w:rPr>
        <w:t>use of Eurocodes</w:t>
      </w:r>
      <w:r>
        <w:rPr>
          <w:spacing w:val="37"/>
          <w:sz w:val="28"/>
        </w:rPr>
        <w:t xml:space="preserve"> </w:t>
      </w:r>
      <w:r>
        <w:rPr>
          <w:sz w:val="28"/>
        </w:rPr>
        <w:t>:</w:t>
      </w:r>
      <w:r>
        <w:rPr>
          <w:spacing w:val="37"/>
          <w:sz w:val="28"/>
        </w:rPr>
        <w:t xml:space="preserve"> </w:t>
      </w:r>
      <w:r>
        <w:rPr>
          <w:sz w:val="28"/>
        </w:rPr>
        <w:t>Handbook</w:t>
      </w:r>
      <w:r>
        <w:rPr>
          <w:spacing w:val="37"/>
          <w:sz w:val="28"/>
        </w:rPr>
        <w:t xml:space="preserve"> </w:t>
      </w:r>
      <w:r>
        <w:rPr>
          <w:sz w:val="28"/>
        </w:rPr>
        <w:t>1. U K</w:t>
      </w:r>
      <w:r>
        <w:rPr>
          <w:spacing w:val="37"/>
          <w:sz w:val="28"/>
        </w:rPr>
        <w:t xml:space="preserve"> </w:t>
      </w:r>
      <w:r>
        <w:rPr>
          <w:sz w:val="28"/>
        </w:rPr>
        <w:t>Watford</w:t>
      </w:r>
      <w:r>
        <w:rPr>
          <w:spacing w:val="37"/>
          <w:sz w:val="28"/>
        </w:rPr>
        <w:t xml:space="preserve"> </w:t>
      </w:r>
      <w:r>
        <w:rPr>
          <w:sz w:val="28"/>
        </w:rPr>
        <w:t>:</w:t>
      </w:r>
      <w:r>
        <w:rPr>
          <w:spacing w:val="37"/>
          <w:sz w:val="28"/>
        </w:rPr>
        <w:t xml:space="preserve"> </w:t>
      </w:r>
      <w:r>
        <w:rPr>
          <w:sz w:val="28"/>
        </w:rPr>
        <w:t>Garston, 2004. 155 p. (Basis of structural design).</w:t>
      </w:r>
    </w:p>
    <w:p w:rsidR="00166F4B" w:rsidRDefault="00166F4B" w:rsidP="00166F4B">
      <w:pPr>
        <w:pStyle w:val="a5"/>
        <w:numPr>
          <w:ilvl w:val="0"/>
          <w:numId w:val="1"/>
        </w:numPr>
        <w:tabs>
          <w:tab w:val="left" w:pos="1274"/>
        </w:tabs>
        <w:spacing w:line="276" w:lineRule="auto"/>
        <w:ind w:right="115" w:firstLine="720"/>
        <w:jc w:val="both"/>
        <w:rPr>
          <w:sz w:val="28"/>
        </w:rPr>
      </w:pPr>
      <w:r>
        <w:rPr>
          <w:sz w:val="28"/>
        </w:rPr>
        <w:t>Guide to the basis of structural realiability and risk engeneering related to Eurocodes, supplemented by practical examples 1990 and to application and use of Eurocodes : Handbook 2. Prague, 2005. 254 p. (Realiability backgrounds).</w:t>
      </w:r>
    </w:p>
    <w:p w:rsidR="00166F4B" w:rsidRDefault="00166F4B" w:rsidP="00166F4B">
      <w:pPr>
        <w:pStyle w:val="a5"/>
        <w:numPr>
          <w:ilvl w:val="0"/>
          <w:numId w:val="1"/>
        </w:numPr>
        <w:tabs>
          <w:tab w:val="left" w:pos="1245"/>
        </w:tabs>
        <w:spacing w:line="276" w:lineRule="auto"/>
        <w:ind w:right="110" w:firstLine="720"/>
        <w:jc w:val="both"/>
        <w:rPr>
          <w:sz w:val="28"/>
        </w:rPr>
      </w:pPr>
      <w:r>
        <w:rPr>
          <w:sz w:val="28"/>
        </w:rPr>
        <w:t>Guide</w:t>
      </w:r>
      <w:r>
        <w:rPr>
          <w:spacing w:val="-16"/>
          <w:sz w:val="28"/>
        </w:rPr>
        <w:t xml:space="preserve"> </w:t>
      </w:r>
      <w:r>
        <w:rPr>
          <w:sz w:val="28"/>
        </w:rPr>
        <w:t>to</w:t>
      </w:r>
      <w:r>
        <w:rPr>
          <w:spacing w:val="-13"/>
          <w:sz w:val="28"/>
        </w:rPr>
        <w:t xml:space="preserve"> </w:t>
      </w:r>
      <w:r>
        <w:rPr>
          <w:sz w:val="28"/>
        </w:rPr>
        <w:t>risk</w:t>
      </w:r>
      <w:r>
        <w:rPr>
          <w:spacing w:val="-13"/>
          <w:sz w:val="28"/>
        </w:rPr>
        <w:t xml:space="preserve"> </w:t>
      </w:r>
      <w:r>
        <w:rPr>
          <w:sz w:val="28"/>
        </w:rPr>
        <w:t>assessment</w:t>
      </w:r>
      <w:r>
        <w:rPr>
          <w:spacing w:val="-13"/>
          <w:sz w:val="28"/>
        </w:rPr>
        <w:t xml:space="preserve"> </w:t>
      </w:r>
      <w:r>
        <w:rPr>
          <w:sz w:val="28"/>
        </w:rPr>
        <w:t>for</w:t>
      </w:r>
      <w:r>
        <w:rPr>
          <w:spacing w:val="-13"/>
          <w:sz w:val="28"/>
        </w:rPr>
        <w:t xml:space="preserve"> </w:t>
      </w:r>
      <w:r>
        <w:rPr>
          <w:sz w:val="28"/>
        </w:rPr>
        <w:t>reservoir</w:t>
      </w:r>
      <w:r>
        <w:rPr>
          <w:spacing w:val="-16"/>
          <w:sz w:val="28"/>
        </w:rPr>
        <w:t xml:space="preserve"> </w:t>
      </w:r>
      <w:r>
        <w:rPr>
          <w:sz w:val="28"/>
        </w:rPr>
        <w:t>safety</w:t>
      </w:r>
      <w:r>
        <w:rPr>
          <w:spacing w:val="-15"/>
          <w:sz w:val="28"/>
        </w:rPr>
        <w:t xml:space="preserve"> </w:t>
      </w:r>
      <w:r>
        <w:rPr>
          <w:sz w:val="28"/>
        </w:rPr>
        <w:t>management:</w:t>
      </w:r>
      <w:r>
        <w:rPr>
          <w:spacing w:val="-13"/>
          <w:sz w:val="28"/>
        </w:rPr>
        <w:t xml:space="preserve"> </w:t>
      </w:r>
      <w:r>
        <w:rPr>
          <w:sz w:val="28"/>
        </w:rPr>
        <w:t>Methodology</w:t>
      </w:r>
      <w:r>
        <w:rPr>
          <w:spacing w:val="-17"/>
          <w:sz w:val="28"/>
        </w:rPr>
        <w:t xml:space="preserve"> </w:t>
      </w:r>
      <w:r>
        <w:rPr>
          <w:sz w:val="28"/>
        </w:rPr>
        <w:t>and supporting</w:t>
      </w:r>
      <w:r>
        <w:rPr>
          <w:spacing w:val="-18"/>
          <w:sz w:val="28"/>
        </w:rPr>
        <w:t xml:space="preserve"> </w:t>
      </w:r>
      <w:r>
        <w:rPr>
          <w:sz w:val="28"/>
        </w:rPr>
        <w:t>information.</w:t>
      </w:r>
      <w:r>
        <w:rPr>
          <w:spacing w:val="-17"/>
          <w:sz w:val="28"/>
        </w:rPr>
        <w:t xml:space="preserve"> </w:t>
      </w:r>
      <w:r>
        <w:rPr>
          <w:sz w:val="28"/>
        </w:rPr>
        <w:t>Bristol</w:t>
      </w:r>
      <w:r>
        <w:rPr>
          <w:spacing w:val="-18"/>
          <w:sz w:val="28"/>
        </w:rPr>
        <w:t xml:space="preserve"> </w:t>
      </w:r>
      <w:r>
        <w:rPr>
          <w:sz w:val="28"/>
        </w:rPr>
        <w:t>:</w:t>
      </w:r>
      <w:r>
        <w:rPr>
          <w:spacing w:val="-17"/>
          <w:sz w:val="28"/>
        </w:rPr>
        <w:t xml:space="preserve"> </w:t>
      </w:r>
      <w:r>
        <w:rPr>
          <w:sz w:val="28"/>
        </w:rPr>
        <w:t>Environment</w:t>
      </w:r>
      <w:r>
        <w:rPr>
          <w:spacing w:val="-18"/>
          <w:sz w:val="28"/>
        </w:rPr>
        <w:t xml:space="preserve"> </w:t>
      </w:r>
      <w:r>
        <w:rPr>
          <w:sz w:val="28"/>
        </w:rPr>
        <w:t>Agency,</w:t>
      </w:r>
      <w:r>
        <w:rPr>
          <w:spacing w:val="-17"/>
          <w:sz w:val="28"/>
        </w:rPr>
        <w:t xml:space="preserve"> </w:t>
      </w:r>
      <w:r>
        <w:rPr>
          <w:sz w:val="28"/>
        </w:rPr>
        <w:t>2013.</w:t>
      </w:r>
      <w:r>
        <w:rPr>
          <w:spacing w:val="-18"/>
          <w:sz w:val="28"/>
        </w:rPr>
        <w:t xml:space="preserve"> </w:t>
      </w:r>
      <w:r>
        <w:rPr>
          <w:sz w:val="28"/>
        </w:rPr>
        <w:t>Volume</w:t>
      </w:r>
      <w:r>
        <w:rPr>
          <w:spacing w:val="-17"/>
          <w:sz w:val="28"/>
        </w:rPr>
        <w:t xml:space="preserve"> </w:t>
      </w:r>
      <w:r>
        <w:rPr>
          <w:sz w:val="28"/>
        </w:rPr>
        <w:t>2.</w:t>
      </w:r>
      <w:r>
        <w:rPr>
          <w:spacing w:val="-18"/>
          <w:sz w:val="28"/>
        </w:rPr>
        <w:t xml:space="preserve"> </w:t>
      </w:r>
      <w:r>
        <w:rPr>
          <w:sz w:val="28"/>
        </w:rPr>
        <w:t>311</w:t>
      </w:r>
      <w:r>
        <w:rPr>
          <w:spacing w:val="-17"/>
          <w:sz w:val="28"/>
        </w:rPr>
        <w:t xml:space="preserve"> </w:t>
      </w:r>
      <w:r>
        <w:rPr>
          <w:sz w:val="28"/>
        </w:rPr>
        <w:t>p.</w:t>
      </w:r>
      <w:r>
        <w:rPr>
          <w:spacing w:val="-18"/>
          <w:sz w:val="28"/>
        </w:rPr>
        <w:t xml:space="preserve"> </w:t>
      </w:r>
      <w:r>
        <w:rPr>
          <w:sz w:val="28"/>
        </w:rPr>
        <w:t>(Report – SC090001/R2).</w:t>
      </w:r>
    </w:p>
    <w:p w:rsidR="00166F4B" w:rsidRDefault="00166F4B" w:rsidP="00166F4B">
      <w:pPr>
        <w:pStyle w:val="a5"/>
        <w:numPr>
          <w:ilvl w:val="0"/>
          <w:numId w:val="1"/>
        </w:numPr>
        <w:tabs>
          <w:tab w:val="left" w:pos="1312"/>
        </w:tabs>
        <w:spacing w:line="276" w:lineRule="auto"/>
        <w:ind w:right="120" w:firstLine="720"/>
        <w:jc w:val="both"/>
        <w:rPr>
          <w:sz w:val="28"/>
        </w:rPr>
      </w:pPr>
      <w:r>
        <w:rPr>
          <w:sz w:val="28"/>
        </w:rPr>
        <w:t xml:space="preserve">JCSS Probabilistic model code. Part 1. Basis of design. JCSS working materials. JCSS. 2000. 62 p. URL: </w:t>
      </w:r>
      <w:hyperlink r:id="rId5">
        <w:r>
          <w:rPr>
            <w:sz w:val="28"/>
          </w:rPr>
          <w:t>http://www.jcss.ethz.ch.</w:t>
        </w:r>
      </w:hyperlink>
    </w:p>
    <w:p w:rsidR="00166F4B" w:rsidRDefault="00166F4B" w:rsidP="00166F4B">
      <w:pPr>
        <w:pStyle w:val="a5"/>
        <w:numPr>
          <w:ilvl w:val="0"/>
          <w:numId w:val="1"/>
        </w:numPr>
        <w:tabs>
          <w:tab w:val="left" w:pos="1343"/>
        </w:tabs>
        <w:spacing w:line="276" w:lineRule="auto"/>
        <w:ind w:right="120" w:firstLine="720"/>
        <w:jc w:val="both"/>
        <w:rPr>
          <w:sz w:val="28"/>
        </w:rPr>
      </w:pPr>
      <w:r>
        <w:rPr>
          <w:sz w:val="28"/>
        </w:rPr>
        <w:t xml:space="preserve">JCSS Probabilistic model code. Part 2. Load models. JCSS working materials. JCSS. 2001. 73 p. URL: </w:t>
      </w:r>
      <w:hyperlink r:id="rId6">
        <w:r>
          <w:rPr>
            <w:sz w:val="28"/>
          </w:rPr>
          <w:t>http://www.jcss.ethz.ch.</w:t>
        </w:r>
      </w:hyperlink>
    </w:p>
    <w:p w:rsidR="00166F4B" w:rsidRDefault="00166F4B" w:rsidP="00166F4B">
      <w:pPr>
        <w:pStyle w:val="a5"/>
        <w:numPr>
          <w:ilvl w:val="0"/>
          <w:numId w:val="1"/>
        </w:numPr>
        <w:tabs>
          <w:tab w:val="left" w:pos="1238"/>
        </w:tabs>
        <w:spacing w:line="276" w:lineRule="auto"/>
        <w:ind w:right="118" w:firstLine="720"/>
        <w:jc w:val="both"/>
        <w:rPr>
          <w:sz w:val="28"/>
        </w:rPr>
      </w:pPr>
      <w:r>
        <w:rPr>
          <w:sz w:val="28"/>
        </w:rPr>
        <w:t>JCSS</w:t>
      </w:r>
      <w:r>
        <w:rPr>
          <w:spacing w:val="-18"/>
          <w:sz w:val="28"/>
        </w:rPr>
        <w:t xml:space="preserve"> </w:t>
      </w:r>
      <w:r>
        <w:rPr>
          <w:sz w:val="28"/>
        </w:rPr>
        <w:t>Probabilistic</w:t>
      </w:r>
      <w:r>
        <w:rPr>
          <w:spacing w:val="-17"/>
          <w:sz w:val="28"/>
        </w:rPr>
        <w:t xml:space="preserve"> </w:t>
      </w:r>
      <w:r>
        <w:rPr>
          <w:sz w:val="28"/>
        </w:rPr>
        <w:t>model</w:t>
      </w:r>
      <w:r>
        <w:rPr>
          <w:spacing w:val="-18"/>
          <w:sz w:val="28"/>
        </w:rPr>
        <w:t xml:space="preserve"> </w:t>
      </w:r>
      <w:r>
        <w:rPr>
          <w:sz w:val="28"/>
        </w:rPr>
        <w:t>code.</w:t>
      </w:r>
      <w:r>
        <w:rPr>
          <w:spacing w:val="-17"/>
          <w:sz w:val="28"/>
        </w:rPr>
        <w:t xml:space="preserve"> </w:t>
      </w:r>
      <w:r>
        <w:rPr>
          <w:sz w:val="28"/>
        </w:rPr>
        <w:t>Part</w:t>
      </w:r>
      <w:r>
        <w:rPr>
          <w:spacing w:val="-18"/>
          <w:sz w:val="28"/>
        </w:rPr>
        <w:t xml:space="preserve"> </w:t>
      </w:r>
      <w:r>
        <w:rPr>
          <w:sz w:val="28"/>
        </w:rPr>
        <w:t>3.</w:t>
      </w:r>
      <w:r>
        <w:rPr>
          <w:spacing w:val="-17"/>
          <w:sz w:val="28"/>
        </w:rPr>
        <w:t xml:space="preserve"> </w:t>
      </w:r>
      <w:r>
        <w:rPr>
          <w:sz w:val="28"/>
        </w:rPr>
        <w:t>Material</w:t>
      </w:r>
      <w:r>
        <w:rPr>
          <w:spacing w:val="-18"/>
          <w:sz w:val="28"/>
        </w:rPr>
        <w:t xml:space="preserve"> </w:t>
      </w:r>
      <w:r>
        <w:rPr>
          <w:sz w:val="28"/>
        </w:rPr>
        <w:t>properties</w:t>
      </w:r>
      <w:r>
        <w:rPr>
          <w:spacing w:val="-17"/>
          <w:sz w:val="28"/>
        </w:rPr>
        <w:t xml:space="preserve"> </w:t>
      </w:r>
      <w:r>
        <w:rPr>
          <w:sz w:val="28"/>
        </w:rPr>
        <w:t>resistance</w:t>
      </w:r>
      <w:r>
        <w:rPr>
          <w:spacing w:val="-18"/>
          <w:sz w:val="28"/>
        </w:rPr>
        <w:t xml:space="preserve"> </w:t>
      </w:r>
      <w:r>
        <w:rPr>
          <w:sz w:val="28"/>
        </w:rPr>
        <w:t xml:space="preserve">models. Memorandum. JCSS. 2000. 41 p. URL: </w:t>
      </w:r>
      <w:hyperlink r:id="rId7">
        <w:r>
          <w:rPr>
            <w:sz w:val="28"/>
          </w:rPr>
          <w:t>http://www.jcss.ethz.ch.</w:t>
        </w:r>
      </w:hyperlink>
    </w:p>
    <w:p w:rsidR="00166F4B" w:rsidRDefault="00166F4B" w:rsidP="00166F4B">
      <w:pPr>
        <w:pStyle w:val="a5"/>
        <w:numPr>
          <w:ilvl w:val="0"/>
          <w:numId w:val="1"/>
        </w:numPr>
        <w:tabs>
          <w:tab w:val="left" w:pos="1346"/>
        </w:tabs>
        <w:spacing w:line="276" w:lineRule="auto"/>
        <w:ind w:right="113" w:firstLine="720"/>
        <w:jc w:val="both"/>
        <w:rPr>
          <w:sz w:val="28"/>
        </w:rPr>
      </w:pPr>
      <w:r>
        <w:rPr>
          <w:sz w:val="28"/>
        </w:rPr>
        <w:t>Legislated dam safety reviews in BC. Burnaby : The association of professional engineers and geoscientists of British Columbia, 2016.</w:t>
      </w:r>
      <w:r>
        <w:rPr>
          <w:spacing w:val="23"/>
          <w:sz w:val="28"/>
        </w:rPr>
        <w:t xml:space="preserve"> </w:t>
      </w:r>
      <w:r>
        <w:rPr>
          <w:sz w:val="28"/>
        </w:rPr>
        <w:t>90 p. (APEGBC</w:t>
      </w:r>
    </w:p>
    <w:p w:rsidR="00166F4B" w:rsidRDefault="00166F4B" w:rsidP="00166F4B">
      <w:pPr>
        <w:spacing w:line="276" w:lineRule="auto"/>
        <w:jc w:val="both"/>
        <w:rPr>
          <w:sz w:val="28"/>
        </w:rPr>
        <w:sectPr w:rsidR="00166F4B">
          <w:pgSz w:w="11920" w:h="16850"/>
          <w:pgMar w:top="1060" w:right="1020" w:bottom="1340" w:left="1020" w:header="0" w:footer="1142" w:gutter="0"/>
          <w:cols w:space="720"/>
        </w:sectPr>
      </w:pPr>
    </w:p>
    <w:p w:rsidR="00166F4B" w:rsidRDefault="00166F4B" w:rsidP="00166F4B">
      <w:pPr>
        <w:pStyle w:val="a3"/>
        <w:spacing w:before="65"/>
        <w:jc w:val="both"/>
      </w:pPr>
      <w:r>
        <w:lastRenderedPageBreak/>
        <w:t>professional</w:t>
      </w:r>
      <w:r>
        <w:rPr>
          <w:spacing w:val="-7"/>
        </w:rPr>
        <w:t xml:space="preserve"> </w:t>
      </w:r>
      <w:r>
        <w:t>practice</w:t>
      </w:r>
      <w:r>
        <w:rPr>
          <w:spacing w:val="-10"/>
        </w:rPr>
        <w:t xml:space="preserve"> </w:t>
      </w:r>
      <w:r>
        <w:rPr>
          <w:spacing w:val="-2"/>
        </w:rPr>
        <w:t>guidelines).</w:t>
      </w:r>
    </w:p>
    <w:p w:rsidR="00166F4B" w:rsidRDefault="00166F4B" w:rsidP="00166F4B">
      <w:pPr>
        <w:pStyle w:val="a5"/>
        <w:numPr>
          <w:ilvl w:val="0"/>
          <w:numId w:val="1"/>
        </w:numPr>
        <w:tabs>
          <w:tab w:val="left" w:pos="1264"/>
        </w:tabs>
        <w:spacing w:before="50" w:line="276" w:lineRule="auto"/>
        <w:ind w:right="109" w:firstLine="720"/>
        <w:jc w:val="both"/>
        <w:rPr>
          <w:sz w:val="28"/>
        </w:rPr>
      </w:pPr>
      <w:r>
        <w:rPr>
          <w:sz w:val="28"/>
        </w:rPr>
        <w:t>Правила експлуатації водосховищ Дніпровського каскаду / А. В.</w:t>
      </w:r>
      <w:r>
        <w:rPr>
          <w:spacing w:val="-4"/>
          <w:sz w:val="28"/>
        </w:rPr>
        <w:t xml:space="preserve"> </w:t>
      </w:r>
      <w:r>
        <w:rPr>
          <w:sz w:val="28"/>
        </w:rPr>
        <w:t>Яцик та ін. Київ : Ґенеза, 2003. 176 с.</w:t>
      </w:r>
    </w:p>
    <w:p w:rsidR="00166F4B" w:rsidRDefault="00166F4B" w:rsidP="00166F4B">
      <w:pPr>
        <w:pStyle w:val="a5"/>
        <w:numPr>
          <w:ilvl w:val="0"/>
          <w:numId w:val="1"/>
        </w:numPr>
        <w:tabs>
          <w:tab w:val="left" w:pos="1283"/>
        </w:tabs>
        <w:spacing w:line="276" w:lineRule="auto"/>
        <w:ind w:right="110" w:firstLine="720"/>
        <w:jc w:val="both"/>
        <w:rPr>
          <w:sz w:val="28"/>
        </w:rPr>
      </w:pPr>
      <w:r>
        <w:rPr>
          <w:sz w:val="28"/>
        </w:rPr>
        <w:t>Мозговий А.</w:t>
      </w:r>
      <w:r>
        <w:rPr>
          <w:spacing w:val="-3"/>
          <w:sz w:val="28"/>
        </w:rPr>
        <w:t xml:space="preserve"> </w:t>
      </w:r>
      <w:r>
        <w:rPr>
          <w:sz w:val="28"/>
        </w:rPr>
        <w:t xml:space="preserve">О. Узагальнена оцінка ризику виникнення надзвичайної ситуації на гідротехнічних спорудах каскаду гідроелектростанцій. </w:t>
      </w:r>
      <w:r>
        <w:rPr>
          <w:i/>
          <w:sz w:val="28"/>
        </w:rPr>
        <w:t>Східно- Європейський науковий журнал</w:t>
      </w:r>
      <w:r>
        <w:rPr>
          <w:sz w:val="28"/>
        </w:rPr>
        <w:t>. Варшава, республіка Польща, 2019. Т. 1 (17),</w:t>
      </w:r>
      <w:r>
        <w:rPr>
          <w:spacing w:val="80"/>
          <w:sz w:val="28"/>
        </w:rPr>
        <w:t xml:space="preserve"> </w:t>
      </w:r>
      <w:r>
        <w:rPr>
          <w:sz w:val="28"/>
        </w:rPr>
        <w:t>ч. 1. С. 117–126.</w:t>
      </w:r>
    </w:p>
    <w:p w:rsidR="00166F4B" w:rsidRDefault="00166F4B" w:rsidP="00166F4B">
      <w:pPr>
        <w:pStyle w:val="a5"/>
        <w:numPr>
          <w:ilvl w:val="0"/>
          <w:numId w:val="1"/>
        </w:numPr>
        <w:tabs>
          <w:tab w:val="left" w:pos="1269"/>
        </w:tabs>
        <w:spacing w:line="276" w:lineRule="auto"/>
        <w:ind w:right="113" w:firstLine="720"/>
        <w:jc w:val="both"/>
        <w:rPr>
          <w:sz w:val="28"/>
        </w:rPr>
      </w:pPr>
      <w:r>
        <w:rPr>
          <w:sz w:val="28"/>
        </w:rPr>
        <w:t xml:space="preserve">Мозговий А. О., Самишкін А. Ю. Сучасні методи розрахунку гребель із грунтових матеріалів з урахуванням сейсмічних впливів. </w:t>
      </w:r>
      <w:r>
        <w:rPr>
          <w:i/>
          <w:sz w:val="28"/>
        </w:rPr>
        <w:t>Науковий вісник будівництва</w:t>
      </w:r>
      <w:r>
        <w:rPr>
          <w:sz w:val="28"/>
        </w:rPr>
        <w:t>. Харків, 2020. Т. 99, №1. С. 137–143.</w:t>
      </w:r>
    </w:p>
    <w:p w:rsidR="00166F4B" w:rsidRDefault="00166F4B" w:rsidP="00166F4B">
      <w:pPr>
        <w:pStyle w:val="a5"/>
        <w:numPr>
          <w:ilvl w:val="0"/>
          <w:numId w:val="1"/>
        </w:numPr>
        <w:tabs>
          <w:tab w:val="left" w:pos="1298"/>
        </w:tabs>
        <w:spacing w:line="276" w:lineRule="auto"/>
        <w:ind w:right="114" w:firstLine="720"/>
        <w:jc w:val="both"/>
        <w:rPr>
          <w:color w:val="212121"/>
          <w:sz w:val="28"/>
        </w:rPr>
      </w:pPr>
      <w:r>
        <w:rPr>
          <w:color w:val="212121"/>
          <w:sz w:val="28"/>
        </w:rPr>
        <w:t xml:space="preserve">Segura R. L., Padgett J. E., Paultre P. </w:t>
      </w:r>
      <w:r>
        <w:rPr>
          <w:sz w:val="28"/>
        </w:rPr>
        <w:t xml:space="preserve">Expected seismic performance of gravity dams using machine learning techniques. </w:t>
      </w:r>
      <w:r>
        <w:rPr>
          <w:i/>
          <w:sz w:val="28"/>
        </w:rPr>
        <w:t>Bulletin of the New Zealand Society for Earthquake Engineering</w:t>
      </w:r>
      <w:r>
        <w:rPr>
          <w:color w:val="212121"/>
          <w:sz w:val="28"/>
        </w:rPr>
        <w:t>. Wellington, 2021. Vol. 54, No 2. P. 58</w:t>
      </w:r>
      <w:r>
        <w:rPr>
          <w:sz w:val="28"/>
        </w:rPr>
        <w:t>–</w:t>
      </w:r>
      <w:r>
        <w:rPr>
          <w:color w:val="212121"/>
          <w:sz w:val="28"/>
        </w:rPr>
        <w:t>68.</w:t>
      </w:r>
    </w:p>
    <w:p w:rsidR="00166F4B" w:rsidRDefault="00166F4B" w:rsidP="00166F4B">
      <w:pPr>
        <w:pStyle w:val="a5"/>
        <w:numPr>
          <w:ilvl w:val="0"/>
          <w:numId w:val="1"/>
        </w:numPr>
        <w:tabs>
          <w:tab w:val="left" w:pos="1343"/>
        </w:tabs>
        <w:spacing w:line="276" w:lineRule="auto"/>
        <w:ind w:right="110" w:firstLine="720"/>
        <w:jc w:val="both"/>
        <w:rPr>
          <w:sz w:val="28"/>
        </w:rPr>
      </w:pPr>
      <w:r>
        <w:rPr>
          <w:sz w:val="28"/>
        </w:rPr>
        <w:t>Mozgovyi A. O. Probabilistic assessment of reliability and safety of hydraulic structures of cascades of hydropower plants : dis. … of the Doctor of Tech. Sciences : 05.23.01. Kharkiv, 2019. 592 p.</w:t>
      </w:r>
    </w:p>
    <w:p w:rsidR="00166F4B" w:rsidRDefault="00166F4B" w:rsidP="00166F4B">
      <w:pPr>
        <w:pStyle w:val="a5"/>
        <w:numPr>
          <w:ilvl w:val="0"/>
          <w:numId w:val="1"/>
        </w:numPr>
        <w:tabs>
          <w:tab w:val="left" w:pos="1266"/>
        </w:tabs>
        <w:spacing w:line="276" w:lineRule="auto"/>
        <w:ind w:right="107" w:firstLine="720"/>
        <w:jc w:val="both"/>
        <w:rPr>
          <w:sz w:val="28"/>
        </w:rPr>
      </w:pPr>
      <w:r>
        <w:rPr>
          <w:sz w:val="28"/>
        </w:rPr>
        <w:t>Selvan, S., Sinha, S., Khupat, S., Singh, C., Jerin Paul, K., &amp; Ali, R.. Dam Safety Measures Against Earthquakes in Seismic Regions // International Conference on</w:t>
      </w:r>
      <w:r>
        <w:rPr>
          <w:spacing w:val="-14"/>
          <w:sz w:val="28"/>
        </w:rPr>
        <w:t xml:space="preserve"> </w:t>
      </w:r>
      <w:r>
        <w:rPr>
          <w:sz w:val="28"/>
        </w:rPr>
        <w:t>Hydraulics,</w:t>
      </w:r>
      <w:r>
        <w:rPr>
          <w:spacing w:val="-15"/>
          <w:sz w:val="28"/>
        </w:rPr>
        <w:t xml:space="preserve"> </w:t>
      </w:r>
      <w:r>
        <w:rPr>
          <w:sz w:val="28"/>
        </w:rPr>
        <w:t>Water</w:t>
      </w:r>
      <w:r>
        <w:rPr>
          <w:spacing w:val="-17"/>
          <w:sz w:val="28"/>
        </w:rPr>
        <w:t xml:space="preserve"> </w:t>
      </w:r>
      <w:r>
        <w:rPr>
          <w:sz w:val="28"/>
        </w:rPr>
        <w:t>Resources</w:t>
      </w:r>
      <w:r>
        <w:rPr>
          <w:spacing w:val="-14"/>
          <w:sz w:val="28"/>
        </w:rPr>
        <w:t xml:space="preserve"> </w:t>
      </w:r>
      <w:r>
        <w:rPr>
          <w:sz w:val="28"/>
        </w:rPr>
        <w:t>and</w:t>
      </w:r>
      <w:r>
        <w:rPr>
          <w:spacing w:val="-14"/>
          <w:sz w:val="28"/>
        </w:rPr>
        <w:t xml:space="preserve"> </w:t>
      </w:r>
      <w:r>
        <w:rPr>
          <w:sz w:val="28"/>
        </w:rPr>
        <w:t>Coastal</w:t>
      </w:r>
      <w:r>
        <w:rPr>
          <w:spacing w:val="-14"/>
          <w:sz w:val="28"/>
        </w:rPr>
        <w:t xml:space="preserve"> </w:t>
      </w:r>
      <w:r>
        <w:rPr>
          <w:sz w:val="28"/>
        </w:rPr>
        <w:t>Engineering</w:t>
      </w:r>
      <w:r>
        <w:rPr>
          <w:spacing w:val="-10"/>
          <w:sz w:val="28"/>
        </w:rPr>
        <w:t xml:space="preserve"> </w:t>
      </w:r>
      <w:r>
        <w:rPr>
          <w:sz w:val="28"/>
        </w:rPr>
        <w:t>:</w:t>
      </w:r>
      <w:r>
        <w:rPr>
          <w:spacing w:val="-14"/>
          <w:sz w:val="28"/>
        </w:rPr>
        <w:t xml:space="preserve"> </w:t>
      </w:r>
      <w:r>
        <w:rPr>
          <w:sz w:val="28"/>
        </w:rPr>
        <w:t>materials</w:t>
      </w:r>
      <w:r>
        <w:rPr>
          <w:spacing w:val="-16"/>
          <w:sz w:val="28"/>
        </w:rPr>
        <w:t xml:space="preserve"> </w:t>
      </w:r>
      <w:r>
        <w:rPr>
          <w:sz w:val="28"/>
        </w:rPr>
        <w:t>of</w:t>
      </w:r>
      <w:r>
        <w:rPr>
          <w:spacing w:val="-15"/>
          <w:sz w:val="28"/>
        </w:rPr>
        <w:t xml:space="preserve"> </w:t>
      </w:r>
      <w:r>
        <w:rPr>
          <w:sz w:val="28"/>
        </w:rPr>
        <w:t>the</w:t>
      </w:r>
      <w:r>
        <w:rPr>
          <w:spacing w:val="-15"/>
          <w:sz w:val="28"/>
        </w:rPr>
        <w:t xml:space="preserve"> </w:t>
      </w:r>
      <w:r>
        <w:rPr>
          <w:sz w:val="28"/>
        </w:rPr>
        <w:t>conference. Singapore, 2021. P. 625–639.</w:t>
      </w:r>
    </w:p>
    <w:p w:rsidR="00166F4B" w:rsidRDefault="00166F4B" w:rsidP="00166F4B">
      <w:pPr>
        <w:pStyle w:val="a5"/>
        <w:numPr>
          <w:ilvl w:val="0"/>
          <w:numId w:val="1"/>
        </w:numPr>
        <w:tabs>
          <w:tab w:val="left" w:pos="1333"/>
        </w:tabs>
        <w:spacing w:line="276" w:lineRule="auto"/>
        <w:ind w:right="110" w:firstLine="720"/>
        <w:jc w:val="both"/>
        <w:rPr>
          <w:color w:val="212121"/>
          <w:sz w:val="28"/>
        </w:rPr>
      </w:pPr>
      <w:r>
        <w:rPr>
          <w:color w:val="212121"/>
          <w:sz w:val="28"/>
        </w:rPr>
        <w:t xml:space="preserve">Butnik S., Mozgovyi A. Prospects of application of roller compacted concrete in hydro schemes of Ukraine. </w:t>
      </w:r>
      <w:r>
        <w:rPr>
          <w:i/>
          <w:color w:val="212121"/>
          <w:sz w:val="28"/>
        </w:rPr>
        <w:t>E3S Web of Conferences</w:t>
      </w:r>
      <w:r>
        <w:rPr>
          <w:color w:val="212121"/>
          <w:sz w:val="28"/>
        </w:rPr>
        <w:t>. Les Ulis, 2021. Vol. 280, No 03004. Р. 1–6.</w:t>
      </w:r>
    </w:p>
    <w:p w:rsidR="00166F4B" w:rsidRDefault="00166F4B" w:rsidP="00166F4B">
      <w:pPr>
        <w:pStyle w:val="a5"/>
        <w:numPr>
          <w:ilvl w:val="0"/>
          <w:numId w:val="1"/>
        </w:numPr>
        <w:tabs>
          <w:tab w:val="left" w:pos="1257"/>
        </w:tabs>
        <w:spacing w:before="1" w:line="276" w:lineRule="auto"/>
        <w:ind w:right="110" w:firstLine="720"/>
        <w:jc w:val="both"/>
        <w:rPr>
          <w:color w:val="212121"/>
          <w:sz w:val="28"/>
        </w:rPr>
      </w:pPr>
      <w:r>
        <w:rPr>
          <w:color w:val="212121"/>
          <w:sz w:val="28"/>
        </w:rPr>
        <w:t>Mozgovyi A., Spirande K. Simulation</w:t>
      </w:r>
      <w:r>
        <w:rPr>
          <w:color w:val="212121"/>
          <w:spacing w:val="-1"/>
          <w:sz w:val="28"/>
        </w:rPr>
        <w:t xml:space="preserve"> </w:t>
      </w:r>
      <w:r>
        <w:rPr>
          <w:color w:val="212121"/>
          <w:sz w:val="28"/>
        </w:rPr>
        <w:t>of</w:t>
      </w:r>
      <w:r>
        <w:rPr>
          <w:color w:val="212121"/>
          <w:spacing w:val="-2"/>
          <w:sz w:val="28"/>
        </w:rPr>
        <w:t xml:space="preserve"> </w:t>
      </w:r>
      <w:r>
        <w:rPr>
          <w:color w:val="212121"/>
          <w:sz w:val="28"/>
        </w:rPr>
        <w:t>two-dimensional</w:t>
      </w:r>
      <w:r>
        <w:rPr>
          <w:color w:val="212121"/>
          <w:spacing w:val="-1"/>
          <w:sz w:val="28"/>
        </w:rPr>
        <w:t xml:space="preserve"> </w:t>
      </w:r>
      <w:r>
        <w:rPr>
          <w:color w:val="212121"/>
          <w:sz w:val="28"/>
        </w:rPr>
        <w:t>distribution laws of random correlated quantities of natural-climatic factors in context of probabilistic assessment</w:t>
      </w:r>
      <w:r>
        <w:rPr>
          <w:color w:val="212121"/>
          <w:spacing w:val="-14"/>
          <w:sz w:val="28"/>
        </w:rPr>
        <w:t xml:space="preserve"> </w:t>
      </w:r>
      <w:r>
        <w:rPr>
          <w:color w:val="212121"/>
          <w:sz w:val="28"/>
        </w:rPr>
        <w:t>of</w:t>
      </w:r>
      <w:r>
        <w:rPr>
          <w:color w:val="212121"/>
          <w:spacing w:val="-17"/>
          <w:sz w:val="28"/>
        </w:rPr>
        <w:t xml:space="preserve"> </w:t>
      </w:r>
      <w:r>
        <w:rPr>
          <w:color w:val="212121"/>
          <w:sz w:val="28"/>
        </w:rPr>
        <w:t>reliability</w:t>
      </w:r>
      <w:r>
        <w:rPr>
          <w:color w:val="212121"/>
          <w:spacing w:val="-18"/>
          <w:sz w:val="28"/>
        </w:rPr>
        <w:t xml:space="preserve"> </w:t>
      </w:r>
      <w:r>
        <w:rPr>
          <w:color w:val="212121"/>
          <w:sz w:val="28"/>
        </w:rPr>
        <w:t>of</w:t>
      </w:r>
      <w:r>
        <w:rPr>
          <w:color w:val="212121"/>
          <w:spacing w:val="-16"/>
          <w:sz w:val="28"/>
        </w:rPr>
        <w:t xml:space="preserve"> </w:t>
      </w:r>
      <w:r>
        <w:rPr>
          <w:color w:val="212121"/>
          <w:sz w:val="28"/>
        </w:rPr>
        <w:t>hydraulic</w:t>
      </w:r>
      <w:r>
        <w:rPr>
          <w:color w:val="212121"/>
          <w:spacing w:val="-17"/>
          <w:sz w:val="28"/>
        </w:rPr>
        <w:t xml:space="preserve"> </w:t>
      </w:r>
      <w:r>
        <w:rPr>
          <w:color w:val="212121"/>
          <w:sz w:val="28"/>
        </w:rPr>
        <w:t>structures</w:t>
      </w:r>
      <w:r>
        <w:rPr>
          <w:color w:val="212121"/>
          <w:spacing w:val="-14"/>
          <w:sz w:val="28"/>
        </w:rPr>
        <w:t xml:space="preserve"> </w:t>
      </w:r>
      <w:r>
        <w:rPr>
          <w:color w:val="212121"/>
          <w:sz w:val="28"/>
        </w:rPr>
        <w:t>of</w:t>
      </w:r>
      <w:r>
        <w:rPr>
          <w:color w:val="212121"/>
          <w:spacing w:val="-15"/>
          <w:sz w:val="28"/>
        </w:rPr>
        <w:t xml:space="preserve"> </w:t>
      </w:r>
      <w:r>
        <w:rPr>
          <w:color w:val="212121"/>
          <w:sz w:val="28"/>
        </w:rPr>
        <w:t>cascades</w:t>
      </w:r>
      <w:r>
        <w:rPr>
          <w:color w:val="212121"/>
          <w:spacing w:val="-14"/>
          <w:sz w:val="28"/>
        </w:rPr>
        <w:t xml:space="preserve"> </w:t>
      </w:r>
      <w:r>
        <w:rPr>
          <w:color w:val="212121"/>
          <w:sz w:val="28"/>
        </w:rPr>
        <w:t>of</w:t>
      </w:r>
      <w:r>
        <w:rPr>
          <w:color w:val="212121"/>
          <w:spacing w:val="-17"/>
          <w:sz w:val="28"/>
        </w:rPr>
        <w:t xml:space="preserve"> </w:t>
      </w:r>
      <w:r>
        <w:rPr>
          <w:color w:val="212121"/>
          <w:sz w:val="28"/>
        </w:rPr>
        <w:t>hydroschemes.</w:t>
      </w:r>
      <w:r>
        <w:rPr>
          <w:color w:val="212121"/>
          <w:spacing w:val="-15"/>
          <w:sz w:val="28"/>
        </w:rPr>
        <w:t xml:space="preserve"> </w:t>
      </w:r>
      <w:r>
        <w:rPr>
          <w:i/>
          <w:color w:val="212121"/>
          <w:sz w:val="28"/>
        </w:rPr>
        <w:t>E3S</w:t>
      </w:r>
      <w:r>
        <w:rPr>
          <w:i/>
          <w:color w:val="212121"/>
          <w:spacing w:val="-14"/>
          <w:sz w:val="28"/>
        </w:rPr>
        <w:t xml:space="preserve"> </w:t>
      </w:r>
      <w:r>
        <w:rPr>
          <w:i/>
          <w:color w:val="212121"/>
          <w:sz w:val="28"/>
        </w:rPr>
        <w:t>Web of Conferences</w:t>
      </w:r>
      <w:r>
        <w:rPr>
          <w:color w:val="212121"/>
          <w:sz w:val="28"/>
        </w:rPr>
        <w:t>. Les Ulis, 2021. Vol. 280, No 03007. Р. 1–7.</w:t>
      </w:r>
    </w:p>
    <w:p w:rsidR="00166F4B" w:rsidRDefault="00166F4B" w:rsidP="00166F4B">
      <w:pPr>
        <w:pStyle w:val="a5"/>
        <w:numPr>
          <w:ilvl w:val="0"/>
          <w:numId w:val="1"/>
        </w:numPr>
        <w:tabs>
          <w:tab w:val="left" w:pos="1276"/>
        </w:tabs>
        <w:spacing w:line="276" w:lineRule="auto"/>
        <w:ind w:right="110" w:firstLine="720"/>
        <w:jc w:val="both"/>
        <w:rPr>
          <w:color w:val="212121"/>
          <w:sz w:val="28"/>
        </w:rPr>
      </w:pPr>
      <w:r>
        <w:rPr>
          <w:color w:val="212121"/>
          <w:sz w:val="28"/>
        </w:rPr>
        <w:t xml:space="preserve">Mozgovyi A., Spirande K., Butnik S. Simulation of yearly maximal flood discharges of reservoirs of Dnieper cascade. </w:t>
      </w:r>
      <w:r>
        <w:rPr>
          <w:i/>
          <w:color w:val="212121"/>
          <w:sz w:val="28"/>
        </w:rPr>
        <w:t>AIP Conference Proceedings</w:t>
      </w:r>
      <w:r>
        <w:rPr>
          <w:color w:val="212121"/>
          <w:sz w:val="28"/>
        </w:rPr>
        <w:t>. Melville, 2023. Vol. 2684, No 030027. Р. 1–7.</w:t>
      </w:r>
    </w:p>
    <w:p w:rsidR="00166F4B" w:rsidRDefault="00166F4B" w:rsidP="00166F4B">
      <w:pPr>
        <w:pStyle w:val="a5"/>
        <w:numPr>
          <w:ilvl w:val="0"/>
          <w:numId w:val="1"/>
        </w:numPr>
        <w:tabs>
          <w:tab w:val="left" w:pos="1276"/>
        </w:tabs>
        <w:spacing w:before="1" w:line="276" w:lineRule="auto"/>
        <w:ind w:right="112" w:firstLine="720"/>
        <w:jc w:val="both"/>
        <w:rPr>
          <w:color w:val="212121"/>
          <w:sz w:val="28"/>
        </w:rPr>
      </w:pPr>
      <w:r>
        <w:rPr>
          <w:color w:val="212121"/>
          <w:sz w:val="28"/>
        </w:rPr>
        <w:t xml:space="preserve">Mozgovyi A., Spirande K., Butnik S. Investigation of correlation between maximal thickness of ice and the lowest average monthly temperature by methods of multivariate correlation on the example of Dnieper cascade of hydroelectric stations. </w:t>
      </w:r>
      <w:r>
        <w:rPr>
          <w:i/>
          <w:color w:val="212121"/>
          <w:sz w:val="28"/>
        </w:rPr>
        <w:t>AIP Conference Proceedings</w:t>
      </w:r>
      <w:r>
        <w:rPr>
          <w:color w:val="212121"/>
          <w:sz w:val="28"/>
        </w:rPr>
        <w:t>. Melville, 2023. Vol. 2490, No 040001. Р. 1–14.</w:t>
      </w:r>
    </w:p>
    <w:p w:rsidR="00E2746A" w:rsidRDefault="00166F4B">
      <w:bookmarkStart w:id="1" w:name="_GoBack"/>
      <w:bookmarkEnd w:id="1"/>
    </w:p>
    <w:sectPr w:rsidR="00E274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7780E"/>
    <w:multiLevelType w:val="hybridMultilevel"/>
    <w:tmpl w:val="15301400"/>
    <w:lvl w:ilvl="0" w:tplc="C9FEAD9A">
      <w:start w:val="1"/>
      <w:numFmt w:val="decimal"/>
      <w:lvlText w:val="%1."/>
      <w:lvlJc w:val="left"/>
      <w:pPr>
        <w:ind w:left="113" w:hanging="636"/>
        <w:jc w:val="left"/>
      </w:pPr>
      <w:rPr>
        <w:rFonts w:hint="default"/>
        <w:spacing w:val="0"/>
        <w:w w:val="100"/>
        <w:lang w:val="uk-UA" w:eastAsia="en-US" w:bidi="ar-SA"/>
      </w:rPr>
    </w:lvl>
    <w:lvl w:ilvl="1" w:tplc="961E996C">
      <w:numFmt w:val="bullet"/>
      <w:lvlText w:val="•"/>
      <w:lvlJc w:val="left"/>
      <w:pPr>
        <w:ind w:left="1095" w:hanging="636"/>
      </w:pPr>
      <w:rPr>
        <w:rFonts w:hint="default"/>
        <w:lang w:val="uk-UA" w:eastAsia="en-US" w:bidi="ar-SA"/>
      </w:rPr>
    </w:lvl>
    <w:lvl w:ilvl="2" w:tplc="46F48868">
      <w:numFmt w:val="bullet"/>
      <w:lvlText w:val="•"/>
      <w:lvlJc w:val="left"/>
      <w:pPr>
        <w:ind w:left="2070" w:hanging="636"/>
      </w:pPr>
      <w:rPr>
        <w:rFonts w:hint="default"/>
        <w:lang w:val="uk-UA" w:eastAsia="en-US" w:bidi="ar-SA"/>
      </w:rPr>
    </w:lvl>
    <w:lvl w:ilvl="3" w:tplc="A8763E04">
      <w:numFmt w:val="bullet"/>
      <w:lvlText w:val="•"/>
      <w:lvlJc w:val="left"/>
      <w:pPr>
        <w:ind w:left="3045" w:hanging="636"/>
      </w:pPr>
      <w:rPr>
        <w:rFonts w:hint="default"/>
        <w:lang w:val="uk-UA" w:eastAsia="en-US" w:bidi="ar-SA"/>
      </w:rPr>
    </w:lvl>
    <w:lvl w:ilvl="4" w:tplc="97B8FC16">
      <w:numFmt w:val="bullet"/>
      <w:lvlText w:val="•"/>
      <w:lvlJc w:val="left"/>
      <w:pPr>
        <w:ind w:left="4020" w:hanging="636"/>
      </w:pPr>
      <w:rPr>
        <w:rFonts w:hint="default"/>
        <w:lang w:val="uk-UA" w:eastAsia="en-US" w:bidi="ar-SA"/>
      </w:rPr>
    </w:lvl>
    <w:lvl w:ilvl="5" w:tplc="71E01C84">
      <w:numFmt w:val="bullet"/>
      <w:lvlText w:val="•"/>
      <w:lvlJc w:val="left"/>
      <w:pPr>
        <w:ind w:left="4995" w:hanging="636"/>
      </w:pPr>
      <w:rPr>
        <w:rFonts w:hint="default"/>
        <w:lang w:val="uk-UA" w:eastAsia="en-US" w:bidi="ar-SA"/>
      </w:rPr>
    </w:lvl>
    <w:lvl w:ilvl="6" w:tplc="4CF81CC4">
      <w:numFmt w:val="bullet"/>
      <w:lvlText w:val="•"/>
      <w:lvlJc w:val="left"/>
      <w:pPr>
        <w:ind w:left="5970" w:hanging="636"/>
      </w:pPr>
      <w:rPr>
        <w:rFonts w:hint="default"/>
        <w:lang w:val="uk-UA" w:eastAsia="en-US" w:bidi="ar-SA"/>
      </w:rPr>
    </w:lvl>
    <w:lvl w:ilvl="7" w:tplc="107A9406">
      <w:numFmt w:val="bullet"/>
      <w:lvlText w:val="•"/>
      <w:lvlJc w:val="left"/>
      <w:pPr>
        <w:ind w:left="6945" w:hanging="636"/>
      </w:pPr>
      <w:rPr>
        <w:rFonts w:hint="default"/>
        <w:lang w:val="uk-UA" w:eastAsia="en-US" w:bidi="ar-SA"/>
      </w:rPr>
    </w:lvl>
    <w:lvl w:ilvl="8" w:tplc="3B3AB048">
      <w:numFmt w:val="bullet"/>
      <w:lvlText w:val="•"/>
      <w:lvlJc w:val="left"/>
      <w:pPr>
        <w:ind w:left="7920" w:hanging="636"/>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4B"/>
    <w:rsid w:val="00166F4B"/>
    <w:rsid w:val="003C1131"/>
    <w:rsid w:val="0094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AF913-C041-4FE8-9659-0A51C1A3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66F4B"/>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166F4B"/>
    <w:pPr>
      <w:spacing w:before="69"/>
      <w:ind w:left="1789" w:right="178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66F4B"/>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166F4B"/>
    <w:pPr>
      <w:ind w:left="113"/>
    </w:pPr>
    <w:rPr>
      <w:sz w:val="28"/>
      <w:szCs w:val="28"/>
    </w:rPr>
  </w:style>
  <w:style w:type="character" w:customStyle="1" w:styleId="a4">
    <w:name w:val="Основной текст Знак"/>
    <w:basedOn w:val="a0"/>
    <w:link w:val="a3"/>
    <w:uiPriority w:val="1"/>
    <w:rsid w:val="00166F4B"/>
    <w:rPr>
      <w:rFonts w:ascii="Times New Roman" w:eastAsia="Times New Roman" w:hAnsi="Times New Roman" w:cs="Times New Roman"/>
      <w:sz w:val="28"/>
      <w:szCs w:val="28"/>
      <w:lang w:val="uk-UA"/>
    </w:rPr>
  </w:style>
  <w:style w:type="paragraph" w:styleId="a5">
    <w:name w:val="List Paragraph"/>
    <w:basedOn w:val="a"/>
    <w:uiPriority w:val="1"/>
    <w:qFormat/>
    <w:rsid w:val="00166F4B"/>
    <w:pPr>
      <w:ind w:left="113"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ss.ethz.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css.ethz.ch/" TargetMode="External"/><Relationship Id="rId5" Type="http://schemas.openxmlformats.org/officeDocument/2006/relationships/hyperlink" Target="http://www.jcss.ethz.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2024-10-01T08:58:00Z</dcterms:created>
  <dcterms:modified xsi:type="dcterms:W3CDTF">2024-10-01T08:58:00Z</dcterms:modified>
</cp:coreProperties>
</file>