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90C3" w14:textId="77777777" w:rsidR="008D2039" w:rsidRPr="00836244" w:rsidRDefault="008D2039" w:rsidP="008362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 xml:space="preserve">Просторова техніка в </w:t>
      </w:r>
      <w:proofErr w:type="spellStart"/>
      <w:r w:rsidR="0083624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>кінезіотейпуванні</w:t>
      </w:r>
      <w:proofErr w:type="spellEnd"/>
      <w:r w:rsidR="0083624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 xml:space="preserve"> </w:t>
      </w:r>
    </w:p>
    <w:p w14:paraId="1B045006" w14:textId="77777777" w:rsidR="008D2039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0F7EBF17" w14:textId="77777777" w:rsidR="008D2039" w:rsidRPr="00836244" w:rsidRDefault="00FA10EA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FA10EA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uk-UA"/>
        </w:rPr>
        <w:t xml:space="preserve">1. </w:t>
      </w:r>
      <w:r w:rsidR="008D2039" w:rsidRPr="00FA10EA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uk-UA"/>
        </w:rPr>
        <w:t>Просторова техніка</w:t>
      </w:r>
      <w:r w:rsidR="008D2039" w:rsidRPr="0083624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uk-UA"/>
        </w:rPr>
        <w:t xml:space="preserve"> – </w:t>
      </w:r>
      <w:r w:rsidR="008D2039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це специфічний метод аплікації, спрямований на декомпресію тканин. Якщо м’язові техніки працюють з тонусом, а зв’язкові — зі стабільністю, то просторова техніка працює з об’ємом та тиском.</w:t>
      </w:r>
      <w:r w:rsidR="008D2039" w:rsidRPr="0083624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uk-UA"/>
        </w:rPr>
        <w:t xml:space="preserve"> </w:t>
      </w:r>
      <w:r w:rsidR="008D2039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Основна мета – створення додаткового </w:t>
      </w:r>
      <w:proofErr w:type="spellStart"/>
      <w:r w:rsidR="008D2039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міжтканинного</w:t>
      </w:r>
      <w:proofErr w:type="spellEnd"/>
      <w:r w:rsidR="008D2039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простору між дермою, гіподермою, фасцією та м’язами.</w:t>
      </w:r>
    </w:p>
    <w:p w14:paraId="0C757EB8" w14:textId="77777777" w:rsidR="008D2039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uk-UA"/>
        </w:rPr>
        <w:t xml:space="preserve">Головна відмінність від м’язової/зв’язкової техніки.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У м’язових техніках 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тейп накладається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сліду</w:t>
      </w:r>
      <w:r w:rsidR="000E6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ючи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за анатомією м’яза. У просторовій техніці фокус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йде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 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епіцентр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патології (біль, набряк, гематома). Ми не обмежуємо рух і не стимулюємо скорочення; ми створюємо ліфт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инг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-ефект, піднімаючи тканини вгору, що візуально проявляється утворенням 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«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хвиль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»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або складки шкіри під </w:t>
      </w: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тейпом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</w:p>
    <w:p w14:paraId="128B1683" w14:textId="77777777" w:rsidR="00426A37" w:rsidRPr="00836244" w:rsidRDefault="00426A37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</w:p>
    <w:p w14:paraId="7CEB65DF" w14:textId="77777777" w:rsidR="008D2039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2. Біомеханіка та фізіологічний ефект</w:t>
      </w:r>
    </w:p>
    <w:p w14:paraId="6DB00462" w14:textId="77777777" w:rsidR="008D2039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Коли ми наклеюємо квадрат або Х-подібну смужку з натягом периферії та вільним центром, відбуваються наступні ефекти:</w:t>
      </w:r>
    </w:p>
    <w:p w14:paraId="14A524DB" w14:textId="77777777" w:rsidR="00836244" w:rsidRPr="00836244" w:rsidRDefault="008D2039" w:rsidP="00FA10E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Зниження тиску</w:t>
      </w:r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Оскільки центр тейпу при просторовій техніці наклеюється з нульовим натягом, а робочі зони з натягом підіймають шкіру периферії, над больовою точкою утворюється простір, де різко знижується механічний тиск на больові рецептори та відновлюється капілярний кровотік у раніше </w:t>
      </w:r>
      <w:proofErr w:type="spellStart"/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ішемізованій</w:t>
      </w:r>
      <w:proofErr w:type="spellEnd"/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зоні.</w:t>
      </w:r>
    </w:p>
    <w:p w14:paraId="1E83A5C6" w14:textId="77777777" w:rsidR="008D4446" w:rsidRPr="00836244" w:rsidRDefault="008D2039" w:rsidP="00FA10E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Декомпресія больових рецепторів за рахунок зменшення тиску, що суттєво знижує больовий синдром.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Больові рецептори у зоні запалення зазвичай здавлені набряком. Зменшення тиску звільняє їх, що призводить до швидкого </w:t>
      </w:r>
      <w:proofErr w:type="spellStart"/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анальгетичного</w:t>
      </w:r>
      <w:proofErr w:type="spellEnd"/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ефекту.</w:t>
      </w:r>
    </w:p>
    <w:p w14:paraId="3B7B69F5" w14:textId="77777777" w:rsidR="00836244" w:rsidRPr="00836244" w:rsidRDefault="008D2039" w:rsidP="00FA10E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Дренажний ефект. </w:t>
      </w:r>
      <w:r w:rsidR="00836244" w:rsidRPr="00836244">
        <w:rPr>
          <w:rFonts w:ascii="Times New Roman" w:hAnsi="Times New Roman" w:cs="Times New Roman"/>
          <w:sz w:val="24"/>
          <w:szCs w:val="24"/>
        </w:rPr>
        <w:t xml:space="preserve">Навіть якщо візуально гематоми немає, у зоні болю завжди присутній </w:t>
      </w:r>
      <w:proofErr w:type="spellStart"/>
      <w:r w:rsidR="00836244" w:rsidRPr="00836244">
        <w:rPr>
          <w:rFonts w:ascii="Times New Roman" w:hAnsi="Times New Roman" w:cs="Times New Roman"/>
          <w:sz w:val="24"/>
          <w:szCs w:val="24"/>
        </w:rPr>
        <w:t>мікронабряк</w:t>
      </w:r>
      <w:proofErr w:type="spellEnd"/>
      <w:r w:rsidR="00836244" w:rsidRPr="00836244">
        <w:rPr>
          <w:rFonts w:ascii="Times New Roman" w:hAnsi="Times New Roman" w:cs="Times New Roman"/>
          <w:sz w:val="24"/>
          <w:szCs w:val="24"/>
        </w:rPr>
        <w:t xml:space="preserve">. 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Підняття епідермісу та р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ізниця тисків 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відкриває просвіт </w:t>
      </w:r>
      <w:proofErr w:type="spellStart"/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мікрокапілярів</w:t>
      </w:r>
      <w:proofErr w:type="spellEnd"/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та початкових лімфатичних судин,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спрямовує лімфу та надлишкову </w:t>
      </w: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інтерстиціальну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рідину з центральної зони в периферію, де проходять лімфатичні шляхи</w:t>
      </w:r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, що сприяє 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активно</w:t>
      </w:r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му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дренажу.</w:t>
      </w:r>
    </w:p>
    <w:p w14:paraId="089CAB5B" w14:textId="77777777" w:rsidR="00836244" w:rsidRPr="00836244" w:rsidRDefault="008D4446" w:rsidP="00FA10E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Відновлення </w:t>
      </w: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фасціального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ковзання. </w:t>
      </w:r>
      <w:r w:rsidR="00CE6FC6"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Важливо розуміти, що шкіра над тригерною точкою </w:t>
      </w:r>
      <w:r w:rsidR="00836244"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при накладеному тейпу </w:t>
      </w:r>
      <w:r w:rsidR="00CE6FC6"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перебуває у стані постійного контрольованого підйому, завдяки чому фасція отримує можливість розслабитися без зовнішнього примусового натягу, а больовий цикл «спазм-ішемія-біль-спазм» розривається у точці максимального тиску на нервові закінчення</w:t>
      </w:r>
      <w:r w:rsidR="00836244"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.</w:t>
      </w:r>
    </w:p>
    <w:p w14:paraId="7D66833E" w14:textId="77777777" w:rsidR="00CE6FC6" w:rsidRPr="00836244" w:rsidRDefault="00836244" w:rsidP="00FA10E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F1115"/>
          <w:sz w:val="24"/>
          <w:szCs w:val="24"/>
          <w:lang w:eastAsia="uk-UA"/>
        </w:rPr>
      </w:pPr>
      <w:r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В</w:t>
      </w:r>
      <w:r w:rsidR="00CE6FC6"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микається механізм </w:t>
      </w:r>
      <w:r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зворотного контролю болю. </w:t>
      </w:r>
      <w:proofErr w:type="spellStart"/>
      <w:r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Т</w:t>
      </w:r>
      <w:r w:rsidR="00CE6FC6"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ейп</w:t>
      </w:r>
      <w:r w:rsidR="000E6217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и</w:t>
      </w:r>
      <w:proofErr w:type="spellEnd"/>
      <w:r w:rsidR="00CE6FC6"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r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при взаємодії зі шкірою </w:t>
      </w:r>
      <w:r w:rsidR="00CE6FC6"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постійно стимулюють тактильні рецептори шкіри, і ці сигнали досягають спинного мозку швидше за больові, фактично </w:t>
      </w:r>
      <w:r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перекриваючі шлях</w:t>
      </w:r>
      <w:r w:rsidR="00CE6FC6" w:rsidRPr="008362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для проходження больових імпульсів. </w:t>
      </w:r>
    </w:p>
    <w:p w14:paraId="60C5E2C6" w14:textId="77777777" w:rsidR="00426A37" w:rsidRPr="00836244" w:rsidRDefault="00426A37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2299AC82" w14:textId="77777777" w:rsidR="008D4446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3. </w:t>
      </w:r>
      <w:r w:rsidR="008D4446"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П</w:t>
      </w:r>
      <w:r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араметри натягу</w:t>
      </w:r>
      <w:r w:rsidR="008D4446"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.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У просторовій техніці вкрай важливо дотримуватися градації натягу, оскільки помилка може призвести до зворотного ефекту (компресії).</w:t>
      </w:r>
    </w:p>
    <w:p w14:paraId="7C7BC440" w14:textId="77777777" w:rsidR="008D4446" w:rsidRPr="00836244" w:rsidRDefault="008D4446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Центральна частина (</w:t>
      </w:r>
      <w:r w:rsidR="000E6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Центр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) – 0%. Це зона над осередком болю або центром гематоми. </w:t>
      </w: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просто кладеться на шкіру. Якщо тут дати натяг, ви притиснете тканини до кістки, посилюючи ішемію.</w:t>
      </w:r>
    </w:p>
    <w:p w14:paraId="3324C0F7" w14:textId="77777777" w:rsidR="008D4446" w:rsidRPr="00836244" w:rsidRDefault="008D4446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Робоча зона (терапевтична зона) – 25–50% (</w:t>
      </w: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макс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 75%). Натяг виконується від центру до периферії. Саме ця сила збирає шкіру до центру, створюючи складку. Для обличчя та чутливих зон використовуємо 15–25%, для великих м’язів та гематом – 50%.</w:t>
      </w:r>
    </w:p>
    <w:p w14:paraId="240B84FF" w14:textId="77777777" w:rsidR="008D2039" w:rsidRPr="00836244" w:rsidRDefault="008D4446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Кінці – 0%. Останні 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1-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2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-3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см тейпу завжди клеяться без натягу для запобігання відклеюванню та </w:t>
      </w: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нейрорецепторному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подразненню шкіри.</w:t>
      </w:r>
    </w:p>
    <w:p w14:paraId="68F9E621" w14:textId="77777777" w:rsidR="00836244" w:rsidRDefault="00836244" w:rsidP="00836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</w:p>
    <w:p w14:paraId="55FE625E" w14:textId="77777777" w:rsidR="00B93500" w:rsidRPr="00B93500" w:rsidRDefault="00B93500" w:rsidP="00B935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 w:rsidRPr="00B93500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4. Позиціонування.</w:t>
      </w: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 </w:t>
      </w:r>
      <w:r w:rsidRPr="00B935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Вибір положення тіла залежить від мети аплікації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</w:t>
      </w:r>
    </w:p>
    <w:p w14:paraId="1B109CF2" w14:textId="77777777" w:rsidR="00602331" w:rsidRDefault="00B93500" w:rsidP="006023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1. </w:t>
      </w:r>
      <w:r w:rsidRPr="00B935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Хронічний біль, тригерні точки</w:t>
      </w:r>
      <w:r w:rsidR="00602331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. </w:t>
      </w:r>
      <w:r w:rsidRPr="00B935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Тканини в зоні аплікації мають бути максимально розтягнуті.</w:t>
      </w:r>
      <w:r w:rsidR="00602331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Після наклеювання тейпа </w:t>
      </w:r>
      <w:r w:rsidRPr="00B935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людина повертається у звичн</w:t>
      </w:r>
      <w:r w:rsidR="00602331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е положення </w:t>
      </w:r>
      <w:r w:rsidRPr="00B935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і тейп збирає </w:t>
      </w:r>
      <w:r w:rsidR="00602331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шкіру </w:t>
      </w:r>
      <w:r w:rsidRPr="00B935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 складки.</w:t>
      </w:r>
      <w:r w:rsidR="00602331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</w:t>
      </w:r>
      <w:r w:rsidRPr="00602331">
        <w:rPr>
          <w:rFonts w:ascii="Times New Roman" w:eastAsia="Times New Roman" w:hAnsi="Times New Roman" w:cs="Times New Roman"/>
          <w:bCs/>
          <w:i/>
          <w:iCs/>
          <w:color w:val="0F1115"/>
          <w:sz w:val="24"/>
          <w:szCs w:val="24"/>
          <w:lang w:eastAsia="uk-UA"/>
        </w:rPr>
        <w:t>При болю в попереку пацієнт максимально нахиляється вперед.</w:t>
      </w:r>
    </w:p>
    <w:p w14:paraId="6761BFDC" w14:textId="77777777" w:rsidR="00B93500" w:rsidRDefault="00602331" w:rsidP="006023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602331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2. </w:t>
      </w:r>
      <w:r w:rsidR="00B93500" w:rsidRPr="00602331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Гостра</w:t>
      </w:r>
      <w:r w:rsidR="00B93500" w:rsidRPr="00B935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т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равма, гематома, сильний набряк. </w:t>
      </w:r>
      <w:r w:rsidR="00B93500" w:rsidRPr="00B935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Тканини в зоні аплікації мають бути в нейтральному або злегка розтягнутому положенні.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624"/>
        <w:gridCol w:w="3621"/>
        <w:gridCol w:w="2659"/>
      </w:tblGrid>
      <w:tr w:rsidR="00602331" w14:paraId="3080F908" w14:textId="77777777" w:rsidTr="000E6217">
        <w:trPr>
          <w:trHeight w:val="552"/>
        </w:trPr>
        <w:tc>
          <w:tcPr>
            <w:tcW w:w="1951" w:type="dxa"/>
            <w:vAlign w:val="center"/>
          </w:tcPr>
          <w:p w14:paraId="2C0A53DC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Форма тейпу</w:t>
            </w:r>
          </w:p>
        </w:tc>
        <w:tc>
          <w:tcPr>
            <w:tcW w:w="1624" w:type="dxa"/>
            <w:vAlign w:val="center"/>
          </w:tcPr>
          <w:p w14:paraId="233FD8D8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Положення тіла</w:t>
            </w:r>
          </w:p>
        </w:tc>
        <w:tc>
          <w:tcPr>
            <w:tcW w:w="3621" w:type="dxa"/>
            <w:vAlign w:val="center"/>
          </w:tcPr>
          <w:p w14:paraId="636E999A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Натяг тейпу</w:t>
            </w:r>
          </w:p>
        </w:tc>
        <w:tc>
          <w:tcPr>
            <w:tcW w:w="2659" w:type="dxa"/>
            <w:vAlign w:val="center"/>
          </w:tcPr>
          <w:p w14:paraId="25079F8F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Коли застосовуємо</w:t>
            </w:r>
          </w:p>
        </w:tc>
      </w:tr>
      <w:tr w:rsidR="00602331" w14:paraId="61ED515D" w14:textId="77777777" w:rsidTr="000E6217">
        <w:trPr>
          <w:trHeight w:val="552"/>
        </w:trPr>
        <w:tc>
          <w:tcPr>
            <w:tcW w:w="1951" w:type="dxa"/>
            <w:vAlign w:val="center"/>
          </w:tcPr>
          <w:p w14:paraId="5EDE77B4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Цільний квадрат</w:t>
            </w:r>
          </w:p>
        </w:tc>
        <w:tc>
          <w:tcPr>
            <w:tcW w:w="1624" w:type="dxa"/>
            <w:vAlign w:val="center"/>
          </w:tcPr>
          <w:p w14:paraId="17A31F64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Нейтральне </w:t>
            </w:r>
          </w:p>
        </w:tc>
        <w:tc>
          <w:tcPr>
            <w:tcW w:w="3621" w:type="dxa"/>
            <w:vAlign w:val="center"/>
          </w:tcPr>
          <w:p w14:paraId="67F8017D" w14:textId="77777777" w:rsid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  <w:p w14:paraId="305E0129" w14:textId="77777777" w:rsidR="000E6217" w:rsidRPr="00602331" w:rsidRDefault="000E6217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E621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 свіжих травмах з високим ризиком вторинного крововиливу натяг краще знизити до 30–40%</w:t>
            </w:r>
          </w:p>
        </w:tc>
        <w:tc>
          <w:tcPr>
            <w:tcW w:w="2659" w:type="dxa"/>
            <w:vAlign w:val="center"/>
          </w:tcPr>
          <w:p w14:paraId="215F5930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Велик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а свіжа гематома на стегні</w:t>
            </w:r>
          </w:p>
        </w:tc>
      </w:tr>
      <w:tr w:rsidR="00602331" w14:paraId="0899183A" w14:textId="77777777" w:rsidTr="000E6217">
        <w:trPr>
          <w:trHeight w:val="552"/>
        </w:trPr>
        <w:tc>
          <w:tcPr>
            <w:tcW w:w="1951" w:type="dxa"/>
            <w:vAlign w:val="center"/>
          </w:tcPr>
          <w:p w14:paraId="68574F33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Х-подібна</w:t>
            </w:r>
          </w:p>
        </w:tc>
        <w:tc>
          <w:tcPr>
            <w:tcW w:w="1624" w:type="dxa"/>
            <w:vAlign w:val="center"/>
          </w:tcPr>
          <w:p w14:paraId="78863F60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Максимально розтягнуте</w:t>
            </w:r>
          </w:p>
        </w:tc>
        <w:tc>
          <w:tcPr>
            <w:tcW w:w="3621" w:type="dxa"/>
            <w:vAlign w:val="center"/>
          </w:tcPr>
          <w:p w14:paraId="513A3CA3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25%</w:t>
            </w:r>
          </w:p>
        </w:tc>
        <w:tc>
          <w:tcPr>
            <w:tcW w:w="2659" w:type="dxa"/>
            <w:vAlign w:val="center"/>
          </w:tcPr>
          <w:p w14:paraId="42350F4F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Біль у коліні, лікті, плечі </w:t>
            </w:r>
          </w:p>
        </w:tc>
      </w:tr>
      <w:tr w:rsidR="00602331" w14:paraId="234290D3" w14:textId="77777777" w:rsidTr="000E6217">
        <w:trPr>
          <w:trHeight w:val="552"/>
        </w:trPr>
        <w:tc>
          <w:tcPr>
            <w:tcW w:w="1951" w:type="dxa"/>
            <w:vAlign w:val="center"/>
          </w:tcPr>
          <w:p w14:paraId="74432A54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Зірочка</w:t>
            </w:r>
          </w:p>
        </w:tc>
        <w:tc>
          <w:tcPr>
            <w:tcW w:w="1624" w:type="dxa"/>
            <w:vAlign w:val="center"/>
          </w:tcPr>
          <w:p w14:paraId="4FBBE0BC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Помірне розтягнення</w:t>
            </w:r>
          </w:p>
        </w:tc>
        <w:tc>
          <w:tcPr>
            <w:tcW w:w="3621" w:type="dxa"/>
            <w:vAlign w:val="center"/>
          </w:tcPr>
          <w:p w14:paraId="75A96ED3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  <w:tc>
          <w:tcPr>
            <w:tcW w:w="2659" w:type="dxa"/>
            <w:vAlign w:val="center"/>
          </w:tcPr>
          <w:p w14:paraId="000D8F64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Локальна точка болю, </w:t>
            </w:r>
            <w:r w:rsidRPr="00602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тригер</w:t>
            </w:r>
          </w:p>
        </w:tc>
      </w:tr>
      <w:tr w:rsidR="00602331" w14:paraId="60024112" w14:textId="77777777" w:rsidTr="000E6217">
        <w:trPr>
          <w:trHeight w:val="552"/>
        </w:trPr>
        <w:tc>
          <w:tcPr>
            <w:tcW w:w="1951" w:type="dxa"/>
            <w:vAlign w:val="center"/>
          </w:tcPr>
          <w:p w14:paraId="4BBAA98C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Кошик / Пончик</w:t>
            </w:r>
          </w:p>
        </w:tc>
        <w:tc>
          <w:tcPr>
            <w:tcW w:w="1624" w:type="dxa"/>
            <w:vAlign w:val="center"/>
          </w:tcPr>
          <w:p w14:paraId="53073E7E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Нейтральне</w:t>
            </w:r>
          </w:p>
        </w:tc>
        <w:tc>
          <w:tcPr>
            <w:tcW w:w="3621" w:type="dxa"/>
            <w:vAlign w:val="center"/>
          </w:tcPr>
          <w:p w14:paraId="57F5516C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15-25%</w:t>
            </w:r>
          </w:p>
        </w:tc>
        <w:tc>
          <w:tcPr>
            <w:tcW w:w="2659" w:type="dxa"/>
            <w:vAlign w:val="center"/>
          </w:tcPr>
          <w:p w14:paraId="79417A6B" w14:textId="77777777" w:rsidR="00602331" w:rsidRPr="00602331" w:rsidRDefault="00602331" w:rsidP="00602331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02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Навколо набряку суглоба </w:t>
            </w:r>
          </w:p>
        </w:tc>
      </w:tr>
    </w:tbl>
    <w:p w14:paraId="51874673" w14:textId="77777777" w:rsidR="00B93500" w:rsidRPr="00B93500" w:rsidRDefault="00B93500" w:rsidP="00B935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p w14:paraId="4DA68DBB" w14:textId="77777777" w:rsidR="00836244" w:rsidRPr="00FA10EA" w:rsidRDefault="00602331" w:rsidP="00FA10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>5</w:t>
      </w:r>
      <w:r w:rsidR="00836244" w:rsidRPr="00FA10EA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>. Класифікація аплікацій просторової техніки</w:t>
      </w:r>
    </w:p>
    <w:p w14:paraId="0998249D" w14:textId="77777777" w:rsidR="00FA10EA" w:rsidRDefault="00836244" w:rsidP="00FA10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 просторовій техніці форма тейпу обирається залежно від площ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 ураження та анатомічної зони.</w:t>
      </w:r>
    </w:p>
    <w:p w14:paraId="2CC1612B" w14:textId="77777777" w:rsidR="00FA10EA" w:rsidRDefault="00836244" w:rsidP="00FA10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1. Цільний квадрат (або I-смужка)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Це найпростіша техніка «одного пластиру». Використовується широкий тейп, який наклеюється цільним шматком.</w:t>
      </w:r>
      <w:r w:rsidR="00FA10EA" w:rsidRP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FA10EA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Створює єдиний 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декомпресійний купол</w:t>
      </w:r>
      <w:r w:rsidR="00FA10EA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над травмою.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Гематоми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гострі локальні забої, невеликі набряки.</w:t>
      </w:r>
    </w:p>
    <w:p w14:paraId="11B98910" w14:textId="77777777" w:rsidR="00FA10EA" w:rsidRDefault="00836244" w:rsidP="00FA10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2. Х-подібна техніка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</w:t>
      </w: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розрізається з обох кінців, залишаючи цілою середину (приблизно 4-5 см).</w:t>
      </w:r>
      <w:r w:rsidR="00FA10EA" w:rsidRP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FA10EA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Центр піднімає тканини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над епіцентром болю, а чотири промені</w:t>
      </w:r>
      <w:r w:rsidR="00FA10EA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FA10EA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lastRenderedPageBreak/>
        <w:t>дозволяють шкірі вільно рухатися під час згинання кінцівки.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Зони великих суглобів, де потрібна рухливість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для з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неболення без обмеження амплітуди рухів.</w:t>
      </w:r>
    </w:p>
    <w:p w14:paraId="15CBE782" w14:textId="77777777" w:rsidR="00602331" w:rsidRPr="00602331" w:rsidRDefault="00FA10EA" w:rsidP="006023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3. Техніка «Зір</w:t>
      </w:r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ка»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</w:t>
      </w:r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Це накладання 3-4 </w:t>
      </w:r>
      <w:r w:rsid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неоднакових </w:t>
      </w:r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вузьких смужок одна на одну в одній точці.</w:t>
      </w:r>
      <w:r w:rsidRP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602331" w:rsidRPr="00B93500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Смужки накладаються одна на одну під кутом 45° або 90°.</w:t>
      </w:r>
      <w:r w:rsid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602331" w:rsidRP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Перша смужка клеїться з максимальним натягом (до 75%), вона створить базовий купол. Друга </w:t>
      </w:r>
      <w:r w:rsid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="00602331" w:rsidRP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 меншим (50%), третя </w:t>
      </w:r>
      <w:r w:rsid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="00602331" w:rsidRP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30–40%.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 місці перетину всіх смужок створюється найсильніший вакуумний ефект.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B93500" w:rsidRPr="00B93500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Кожна наступна смужка підсилює підйом попередньої. </w:t>
      </w:r>
      <w:r w:rsid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Смужки не</w:t>
      </w:r>
      <w:r w:rsidR="00602331" w:rsidRP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мають бути однако</w:t>
      </w:r>
      <w:r w:rsid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вими – ц</w:t>
      </w:r>
      <w:r w:rsidR="00602331" w:rsidRP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е дозволяє розподілити навантаження</w:t>
      </w:r>
      <w:r w:rsid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 w:rsidR="00602331" w:rsidRPr="00B93500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</w:t>
      </w:r>
      <w:r w:rsidR="00B93500" w:rsidRPr="00B93500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е рекомендується використовувати більше 4-х смужок</w:t>
      </w:r>
      <w:r w:rsidR="00B93500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</w:t>
      </w:r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Максимально гострий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і при цьому локальний біль, </w:t>
      </w:r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тригерні 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очки</w:t>
      </w:r>
      <w:r w:rsidR="00836244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глибокі гематоми.</w:t>
      </w:r>
    </w:p>
    <w:p w14:paraId="4A7D1EA6" w14:textId="77777777" w:rsidR="00602331" w:rsidRDefault="00602331" w:rsidP="006023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При наклеюванні «Зірки» пацієнт може відчути печіння або пульсацію в перші 5 хвилин.</w:t>
      </w:r>
    </w:p>
    <w:p w14:paraId="3D0D9787" w14:textId="1A67F925" w:rsidR="00602331" w:rsidRDefault="00836244" w:rsidP="000E621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4. Техніка «Кошик» 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– квадрат з ліній.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Накладання 4-х окремих I-смужок у формі решітки.</w:t>
      </w:r>
      <w:r w:rsidR="00FA10EA" w:rsidRP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0E6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</w:t>
      </w:r>
      <w:r w:rsidR="000E6217" w:rsidRP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мужки клеяться </w:t>
      </w:r>
      <w:r w:rsidR="000E6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не</w:t>
      </w:r>
      <w:r w:rsidR="000E6217" w:rsidRP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 набряк, а навколо нього, відступаючи 1–1</w:t>
      </w:r>
      <w:r w:rsidR="000E6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</w:t>
      </w:r>
      <w:r w:rsidR="000E6217" w:rsidRPr="006023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5 см від видимого краю. Смужки мають перетинатися під кутом 90°, але не обов'язково клеїти їх одна на одну в місці перетину. В «Кошику» вони лише створюють сітку, центр може залишатися вільним.</w:t>
      </w:r>
      <w:r w:rsidR="000E6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FA10EA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Смужки оточують зону патології, піднімаючи тканини по периметру та в центрі одночасно.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Великі зони набряку, </w:t>
      </w: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навколосуглобові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сумки</w:t>
      </w:r>
      <w:r w:rsidR="00FA10EA" w:rsidRP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(с</w:t>
      </w:r>
      <w:r w:rsidR="00FA10EA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творення великого простору для дренажу рідини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)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захист кісткових виступів.</w:t>
      </w:r>
    </w:p>
    <w:p w14:paraId="21CDC1ED" w14:textId="616EC5F8" w:rsidR="003248BF" w:rsidRPr="00602331" w:rsidRDefault="003248BF" w:rsidP="000E621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!!!! Т</w:t>
      </w:r>
      <w:r w:rsidRPr="003248B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ехніка «Кошик» не має центру в розумінні точки над патологією.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</w:t>
      </w:r>
      <w:r w:rsidRPr="003248B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мужки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 цій техніці </w:t>
      </w:r>
      <w:r w:rsidRPr="003248B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кле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ю</w:t>
      </w:r>
      <w:r w:rsidRPr="003248B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ться навколо набряку, тому правило «центр – 0%» до них не застосовується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– </w:t>
      </w:r>
      <w:r w:rsidRPr="003248B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0%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натягу</w:t>
      </w:r>
      <w:r w:rsidRPr="003248B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застосовується</w:t>
      </w:r>
      <w:r w:rsidRPr="003248B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 кінцях, а натяг рівномірний по всій довжині.</w:t>
      </w:r>
    </w:p>
    <w:p w14:paraId="4D7AEBFC" w14:textId="77777777" w:rsidR="00836244" w:rsidRPr="00836244" w:rsidRDefault="00836244" w:rsidP="00FA10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5. Техніка «Пончик»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– ц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ільний квадрат, у центрі якого вирізається овал або коло.</w:t>
      </w:r>
      <w:r w:rsidR="00FA10EA" w:rsidRP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="00FA10EA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="00FA10EA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розтягує шкіру від центру до периферії, залишаючи саму вершину кістки або рани відкритою.</w:t>
      </w:r>
      <w:r w:rsidR="00FA10EA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Колінна чашечка, ліктьовий відросток, зони, де прямий тиск на шкіру небажаний.</w:t>
      </w:r>
    </w:p>
    <w:p w14:paraId="7FBC097F" w14:textId="77777777" w:rsidR="008D4446" w:rsidRPr="00836244" w:rsidRDefault="008D4446" w:rsidP="00FA10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6BC53D01" w14:textId="77777777" w:rsidR="008D2039" w:rsidRPr="00FA10EA" w:rsidRDefault="00602331" w:rsidP="00FA10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>6</w:t>
      </w:r>
      <w:r w:rsidR="008D2039" w:rsidRPr="00FA10EA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 xml:space="preserve">. Показання та протипоказання </w:t>
      </w:r>
    </w:p>
    <w:p w14:paraId="08C2308D" w14:textId="77777777" w:rsidR="008D2039" w:rsidRPr="00836244" w:rsidRDefault="008D2039" w:rsidP="0083624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Гематоми м'яких тканин, особливо на стадії організації.</w:t>
      </w:r>
    </w:p>
    <w:p w14:paraId="1CCD34F7" w14:textId="77777777" w:rsidR="008D4446" w:rsidRPr="00836244" w:rsidRDefault="008D2039" w:rsidP="0083624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Закриті забої з набряком.</w:t>
      </w:r>
    </w:p>
    <w:p w14:paraId="0775B3DD" w14:textId="77777777" w:rsidR="008D2039" w:rsidRPr="00836244" w:rsidRDefault="008D2039" w:rsidP="0083624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Кісткові виступи (щиколотка, лікоть, </w:t>
      </w: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надколінник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) – для захисту від повторного удару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(тейп бере на себе частину механічного навантаження при контактних видах спорту).</w:t>
      </w:r>
    </w:p>
    <w:p w14:paraId="4981C761" w14:textId="77777777" w:rsidR="008D2039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Додаткові показання:</w:t>
      </w:r>
    </w:p>
    <w:p w14:paraId="12CAA085" w14:textId="77777777" w:rsidR="008D2039" w:rsidRPr="00836244" w:rsidRDefault="008D2039" w:rsidP="0083624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proofErr w:type="spellStart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Гіпертонус</w:t>
      </w:r>
      <w:proofErr w:type="spellEnd"/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м'язів (розслаблення через розтягнення фасції)</w:t>
      </w:r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люмбалгія</w:t>
      </w:r>
      <w:proofErr w:type="spellEnd"/>
      <w:r w:rsidR="008D4446"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тригерні точки.</w:t>
      </w:r>
    </w:p>
    <w:p w14:paraId="027CBE59" w14:textId="77777777" w:rsidR="008D2039" w:rsidRPr="00836244" w:rsidRDefault="008D2039" w:rsidP="0083624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Рубці (підняття рубця над рівнем шкіри для розсмоктування).</w:t>
      </w:r>
    </w:p>
    <w:p w14:paraId="069F205F" w14:textId="77777777" w:rsidR="008D2039" w:rsidRPr="00836244" w:rsidRDefault="008D2039" w:rsidP="0083624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lastRenderedPageBreak/>
        <w:t>Лімфостаз (легкі форми).</w:t>
      </w:r>
    </w:p>
    <w:p w14:paraId="21A98D4B" w14:textId="77777777" w:rsidR="008D2039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Протипоказання:</w:t>
      </w:r>
    </w:p>
    <w:p w14:paraId="009E4A3C" w14:textId="77777777" w:rsidR="008D2039" w:rsidRPr="00836244" w:rsidRDefault="008D2039" w:rsidP="0083624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Відкриті рани в центрі аплікації.</w:t>
      </w:r>
    </w:p>
    <w:p w14:paraId="53929BC7" w14:textId="77777777" w:rsidR="008D2039" w:rsidRPr="00836244" w:rsidRDefault="008D2039" w:rsidP="0083624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Тромбо</w:t>
      </w:r>
      <w:r w:rsidR="000E6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флебіт</w:t>
      </w: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вен (посилення кровотоку може бути шкідливим).</w:t>
      </w:r>
    </w:p>
    <w:p w14:paraId="3A6EF76D" w14:textId="77777777" w:rsidR="008D2039" w:rsidRPr="00836244" w:rsidRDefault="008D2039" w:rsidP="0083624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Індивідуальна непереносимість.</w:t>
      </w:r>
    </w:p>
    <w:p w14:paraId="4E16DAED" w14:textId="77777777" w:rsidR="00426A37" w:rsidRPr="00836244" w:rsidRDefault="00426A37" w:rsidP="00836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5DD99721" w14:textId="77777777" w:rsidR="00426A37" w:rsidRPr="00836244" w:rsidRDefault="00426A37" w:rsidP="00836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7F87AF71" w14:textId="77777777" w:rsidR="00426A37" w:rsidRPr="00836244" w:rsidRDefault="00836244" w:rsidP="00836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</w:p>
    <w:p w14:paraId="136275D1" w14:textId="77777777" w:rsidR="00426A37" w:rsidRPr="00836244" w:rsidRDefault="00426A37" w:rsidP="00836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434E9ED4" w14:textId="77777777" w:rsidR="00426A37" w:rsidRPr="00836244" w:rsidRDefault="00FA10EA" w:rsidP="00836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</w:p>
    <w:p w14:paraId="3A3004EE" w14:textId="77777777" w:rsidR="007B3A9C" w:rsidRPr="00836244" w:rsidRDefault="007B3A9C" w:rsidP="008362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3A9C" w:rsidRPr="00836244" w:rsidSect="00F27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3E37"/>
    <w:multiLevelType w:val="multilevel"/>
    <w:tmpl w:val="19AAEC2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E78C3"/>
    <w:multiLevelType w:val="multilevel"/>
    <w:tmpl w:val="5204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E0CB3"/>
    <w:multiLevelType w:val="multilevel"/>
    <w:tmpl w:val="BDAE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46188"/>
    <w:multiLevelType w:val="multilevel"/>
    <w:tmpl w:val="CD8C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D7808"/>
    <w:multiLevelType w:val="multilevel"/>
    <w:tmpl w:val="32B0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950D8"/>
    <w:multiLevelType w:val="multilevel"/>
    <w:tmpl w:val="8A3C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034CF"/>
    <w:multiLevelType w:val="multilevel"/>
    <w:tmpl w:val="2D0C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8589F"/>
    <w:multiLevelType w:val="multilevel"/>
    <w:tmpl w:val="27B4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C1A2E"/>
    <w:multiLevelType w:val="multilevel"/>
    <w:tmpl w:val="FC74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A45376"/>
    <w:multiLevelType w:val="multilevel"/>
    <w:tmpl w:val="50C8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292"/>
    <w:rsid w:val="00072292"/>
    <w:rsid w:val="000E6217"/>
    <w:rsid w:val="003248BF"/>
    <w:rsid w:val="00426A37"/>
    <w:rsid w:val="00602331"/>
    <w:rsid w:val="007B3A9C"/>
    <w:rsid w:val="00836244"/>
    <w:rsid w:val="008D2039"/>
    <w:rsid w:val="008D4446"/>
    <w:rsid w:val="00B169AF"/>
    <w:rsid w:val="00B728F0"/>
    <w:rsid w:val="00B93500"/>
    <w:rsid w:val="00CE6FC6"/>
    <w:rsid w:val="00F27E55"/>
    <w:rsid w:val="00F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75B7"/>
  <w15:docId w15:val="{88C59AA3-7C13-4AA0-93AD-05932200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E55"/>
  </w:style>
  <w:style w:type="paragraph" w:styleId="1">
    <w:name w:val="heading 1"/>
    <w:basedOn w:val="a"/>
    <w:link w:val="10"/>
    <w:uiPriority w:val="9"/>
    <w:qFormat/>
    <w:rsid w:val="008D2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D2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03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D20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ds-markdown-paragraph">
    <w:name w:val="ds-markdown-paragraph"/>
    <w:basedOn w:val="a"/>
    <w:rsid w:val="008D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8D2039"/>
    <w:rPr>
      <w:b/>
      <w:bCs/>
    </w:rPr>
  </w:style>
  <w:style w:type="character" w:styleId="a4">
    <w:name w:val="Emphasis"/>
    <w:basedOn w:val="a0"/>
    <w:uiPriority w:val="20"/>
    <w:qFormat/>
    <w:rsid w:val="008D2039"/>
    <w:rPr>
      <w:i/>
      <w:iCs/>
    </w:rPr>
  </w:style>
  <w:style w:type="paragraph" w:styleId="a5">
    <w:name w:val="Normal (Web)"/>
    <w:basedOn w:val="a"/>
    <w:uiPriority w:val="99"/>
    <w:semiHidden/>
    <w:unhideWhenUsed/>
    <w:rsid w:val="008D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8D444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26A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26A37"/>
    <w:rPr>
      <w:rFonts w:asciiTheme="majorHAnsi" w:eastAsiaTheme="majorEastAsia" w:hAnsiTheme="majorHAnsi" w:cstheme="majorBidi"/>
      <w:color w:val="1F3763" w:themeColor="accent1" w:themeShade="7F"/>
    </w:rPr>
  </w:style>
  <w:style w:type="table" w:styleId="a7">
    <w:name w:val="Table Grid"/>
    <w:basedOn w:val="a1"/>
    <w:uiPriority w:val="39"/>
    <w:rsid w:val="0060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469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8151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4459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Акулов</dc:creator>
  <cp:keywords/>
  <dc:description/>
  <cp:lastModifiedBy>Сергей Акулов</cp:lastModifiedBy>
  <cp:revision>5</cp:revision>
  <dcterms:created xsi:type="dcterms:W3CDTF">2026-02-11T20:42:00Z</dcterms:created>
  <dcterms:modified xsi:type="dcterms:W3CDTF">2026-02-13T15:01:00Z</dcterms:modified>
</cp:coreProperties>
</file>