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6A56" w:rsidRDefault="00126A56" w:rsidP="00126A56">
      <w:pPr>
        <w:jc w:val="center"/>
        <w:rPr>
          <w:b/>
          <w:bCs/>
          <w:sz w:val="36"/>
          <w:szCs w:val="36"/>
        </w:rPr>
      </w:pPr>
      <w:r w:rsidRPr="00853070">
        <w:rPr>
          <w:b/>
          <w:bCs/>
          <w:sz w:val="36"/>
          <w:szCs w:val="36"/>
        </w:rPr>
        <w:t>Рекреаційні ігри</w:t>
      </w:r>
      <w:r w:rsidR="00A77432">
        <w:rPr>
          <w:b/>
          <w:bCs/>
          <w:sz w:val="36"/>
          <w:szCs w:val="36"/>
        </w:rPr>
        <w:t xml:space="preserve"> як засіб оздоровлення</w:t>
      </w:r>
    </w:p>
    <w:p w:rsidR="00A77432" w:rsidRDefault="00A77432" w:rsidP="00126A56">
      <w:pPr>
        <w:jc w:val="center"/>
        <w:rPr>
          <w:b/>
          <w:bCs/>
          <w:sz w:val="36"/>
          <w:szCs w:val="36"/>
        </w:rPr>
      </w:pPr>
      <w:bookmarkStart w:id="0" w:name="_GoBack"/>
      <w:bookmarkEnd w:id="0"/>
    </w:p>
    <w:p w:rsidR="00126A56" w:rsidRDefault="00126A56" w:rsidP="00126A56">
      <w:r>
        <w:t>Ігри є найбільш емоційним засобом фізичної активності різних вікових груп населення. Щоб ігри стали не тільки засобом розваг, але й для оздоровлення, необхідно враховувати наступні елементи занять (</w:t>
      </w:r>
      <w:proofErr w:type="spellStart"/>
      <w:r>
        <w:t>Хоули</w:t>
      </w:r>
      <w:proofErr w:type="spellEnd"/>
      <w:r>
        <w:t xml:space="preserve">, </w:t>
      </w:r>
      <w:proofErr w:type="spellStart"/>
      <w:r>
        <w:t>Френкс</w:t>
      </w:r>
      <w:proofErr w:type="spellEnd"/>
      <w:r>
        <w:t>, 2004):</w:t>
      </w:r>
    </w:p>
    <w:p w:rsidR="00126A56" w:rsidRDefault="00126A56" w:rsidP="00126A56">
      <w:r>
        <w:t xml:space="preserve">– </w:t>
      </w:r>
      <w:r w:rsidRPr="00853070">
        <w:rPr>
          <w:i/>
          <w:iCs/>
        </w:rPr>
        <w:t>Задоволення</w:t>
      </w:r>
      <w:r>
        <w:t>. Для цього вимагається раціональне співвідношення співпраці і суперництва, довготривала участь кожного і можливість для кожного стати переможцем.</w:t>
      </w:r>
    </w:p>
    <w:p w:rsidR="00126A56" w:rsidRDefault="00126A56" w:rsidP="00126A56">
      <w:r>
        <w:t xml:space="preserve">– </w:t>
      </w:r>
      <w:r w:rsidRPr="00853070">
        <w:rPr>
          <w:i/>
          <w:iCs/>
        </w:rPr>
        <w:t>Включення</w:t>
      </w:r>
      <w:r>
        <w:t>. Ключовим компонентом для гри з метою фізичної підготовки є можливість включення кожного. Це може значити зміну встановлених правил.</w:t>
      </w:r>
    </w:p>
    <w:p w:rsidR="00126A56" w:rsidRDefault="00126A56" w:rsidP="00126A56">
      <w:r>
        <w:t xml:space="preserve">– </w:t>
      </w:r>
      <w:r w:rsidRPr="00853070">
        <w:rPr>
          <w:i/>
          <w:iCs/>
        </w:rPr>
        <w:t>Енергія</w:t>
      </w:r>
      <w:r>
        <w:t>. Основна частина тренування повинна включати ігри з постійною активністю всіх учасників в межах цільової частоти серцевих скорочень.</w:t>
      </w:r>
    </w:p>
    <w:p w:rsidR="00126A56" w:rsidRDefault="00126A56" w:rsidP="00126A56">
      <w:r>
        <w:t xml:space="preserve">– </w:t>
      </w:r>
      <w:r w:rsidRPr="00853070">
        <w:rPr>
          <w:i/>
          <w:iCs/>
        </w:rPr>
        <w:t>Спільне рішення проблем невеликими групами</w:t>
      </w:r>
      <w:r>
        <w:t xml:space="preserve"> учасників з метою досягнення завдань фізичної підготовки може приносити задоволення і зміцнювати здоров’я.</w:t>
      </w:r>
    </w:p>
    <w:p w:rsidR="00126A56" w:rsidRDefault="00126A56" w:rsidP="00126A56">
      <w:r>
        <w:t xml:space="preserve">– </w:t>
      </w:r>
      <w:r w:rsidRPr="00853070">
        <w:rPr>
          <w:i/>
          <w:iCs/>
        </w:rPr>
        <w:t>Змагання</w:t>
      </w:r>
      <w:r>
        <w:t>. Не слід уникати елементу змагань, але необхідно зробити деякий акцент на перемозі і не слід виключати учасників із гри.</w:t>
      </w:r>
    </w:p>
    <w:p w:rsidR="00126A56" w:rsidRDefault="00126A56" w:rsidP="00126A56">
      <w:r>
        <w:t xml:space="preserve">– </w:t>
      </w:r>
      <w:r w:rsidRPr="00853070">
        <w:rPr>
          <w:i/>
          <w:iCs/>
        </w:rPr>
        <w:t>Технічні навики</w:t>
      </w:r>
      <w:r>
        <w:t>. В деяких іграх з метою фізичної підготовки можуть вимагатись певні мінімальні рівні технічних навиків, які навчають в якості елементу фітнес-програми.</w:t>
      </w:r>
    </w:p>
    <w:p w:rsidR="00126A56" w:rsidRDefault="00126A56" w:rsidP="00126A56">
      <w:r>
        <w:t xml:space="preserve">Розминку і заключну частину ігрових занять можна проводити з людьми з різним рівнем фізичної підготовленості. Однак, при більш енергійних іграх відмічається висока інтенсивність, зупинки, старти і швидкі зміни напрямків. Розминка повинна включати додаткові розтяжки і легкі рухи в різних напрямках. При виборі видів активності необхідно враховувати місце проведення, кількість учасників, обладнання </w:t>
      </w:r>
      <w:r w:rsidR="00853070">
        <w:t>та ін..</w:t>
      </w:r>
      <w:r>
        <w:t xml:space="preserve"> Керівник повинен надавати </w:t>
      </w:r>
      <w:r>
        <w:lastRenderedPageBreak/>
        <w:t>особливе значення техніці безпеки і терміново змінювати правила, якщо щось не виходить. Необхідно пропонувати різні ігри щоб в них могли брати участь люди з різними рівнями технічної майстерності. Коли активність охоплює великі групи людей, необхідно часто змінювати її види для підтримки інтересу. Крім розминки і заключної частини тренування необхідно змінювати види активності з підвищеною і пониженою інтенсивністю, щоб не виникала перевтома. Потрібно періодично перевіряти частоту серцевих скорочень, щоб впевнитись, що учасники не перевищують межу своєї частоти серцевих скорочень.</w:t>
      </w:r>
    </w:p>
    <w:p w:rsidR="00126A56" w:rsidRDefault="00126A56" w:rsidP="00126A56">
      <w:r>
        <w:t>Ігри включають в роботу різні групи м’язів і масу тіла в якості протидії, сприяють розвитку рівноваги і координації рухів, які неможливо розвинути в результаті ходьби, бігу підтюпцем або вправами на тренажерах.</w:t>
      </w:r>
    </w:p>
    <w:p w:rsidR="00126A56" w:rsidRDefault="00126A56" w:rsidP="00126A56">
      <w:r>
        <w:t>Види рухливої активності, які використовуються в якості ігор (</w:t>
      </w:r>
      <w:proofErr w:type="spellStart"/>
      <w:r>
        <w:t>Garrick</w:t>
      </w:r>
      <w:proofErr w:type="spellEnd"/>
      <w:r>
        <w:t xml:space="preserve">, </w:t>
      </w:r>
      <w:proofErr w:type="spellStart"/>
      <w:r>
        <w:t>Requa</w:t>
      </w:r>
      <w:proofErr w:type="spellEnd"/>
      <w:r>
        <w:t>, 1999):</w:t>
      </w:r>
    </w:p>
    <w:p w:rsidR="00126A56" w:rsidRDefault="00126A56" w:rsidP="00126A56">
      <w:r>
        <w:t>1. Навики і ігри з м’ячами різних розмірів. Розмір і тип м’яча може привести до нововведення, наприклад футбольний м’яч може використовуватись замість баскетбольного. Прикладами інших м’ячів є тенісні м’ячі, волейбольні м’ячі, м’ячі для спортивних майданчиків, медичні, гандбольні м’ячі та ін.</w:t>
      </w:r>
    </w:p>
    <w:p w:rsidR="00126A56" w:rsidRDefault="00126A56" w:rsidP="00126A56">
      <w:r>
        <w:t xml:space="preserve">2. Види активності з інвентарем. Прикладами є </w:t>
      </w:r>
      <w:proofErr w:type="spellStart"/>
      <w:r>
        <w:t>хулахупи</w:t>
      </w:r>
      <w:proofErr w:type="spellEnd"/>
      <w:r>
        <w:t xml:space="preserve">, </w:t>
      </w:r>
      <w:proofErr w:type="spellStart"/>
      <w:r>
        <w:t>фрісбі</w:t>
      </w:r>
      <w:proofErr w:type="spellEnd"/>
      <w:r>
        <w:t xml:space="preserve">, ракетки з </w:t>
      </w:r>
      <w:proofErr w:type="spellStart"/>
      <w:r>
        <w:t>лопастями</w:t>
      </w:r>
      <w:proofErr w:type="spellEnd"/>
      <w:r>
        <w:t>, скакалки, «кільця для метань», резинові амортизатори та ін.</w:t>
      </w:r>
    </w:p>
    <w:p w:rsidR="00126A56" w:rsidRDefault="00126A56" w:rsidP="00126A56">
      <w:r>
        <w:t xml:space="preserve">3. Ігри з переслідуванням. Прикладами є гра в </w:t>
      </w:r>
      <w:proofErr w:type="spellStart"/>
      <w:r>
        <w:t>п’ятнашки</w:t>
      </w:r>
      <w:proofErr w:type="spellEnd"/>
      <w:r>
        <w:t xml:space="preserve">, гра в </w:t>
      </w:r>
      <w:proofErr w:type="spellStart"/>
      <w:r>
        <w:t>п’ятнашки</w:t>
      </w:r>
      <w:proofErr w:type="spellEnd"/>
      <w:r>
        <w:t xml:space="preserve"> за ланцюжком, «гуси-гуси» і передача м’яча зі зміною напрямку.</w:t>
      </w:r>
    </w:p>
    <w:p w:rsidR="00126A56" w:rsidRDefault="00126A56" w:rsidP="00126A56">
      <w:r>
        <w:t xml:space="preserve">4. Естафети з </w:t>
      </w:r>
      <w:proofErr w:type="spellStart"/>
      <w:r>
        <w:t>м’ячем</w:t>
      </w:r>
      <w:proofErr w:type="spellEnd"/>
      <w:r>
        <w:t xml:space="preserve"> і без нього. Приклади – біг, підскоки, перевороти, </w:t>
      </w:r>
      <w:proofErr w:type="spellStart"/>
      <w:r>
        <w:t>переповзування</w:t>
      </w:r>
      <w:proofErr w:type="spellEnd"/>
      <w:r>
        <w:t xml:space="preserve"> (під обладнанням) та ведення м’яча руками та ногами.</w:t>
      </w:r>
    </w:p>
    <w:p w:rsidR="00126A56" w:rsidRDefault="00126A56" w:rsidP="00126A56">
      <w:r>
        <w:t xml:space="preserve">5. Вправи і змагання. Включаються вправи на зберігання рівноваги, перевороти вперед, перевороти назад, силові вправи, згинання і розгинання рук в упорі лежачи, піднімання тулуба в </w:t>
      </w:r>
      <w:proofErr w:type="spellStart"/>
      <w:r>
        <w:t>сід</w:t>
      </w:r>
      <w:proofErr w:type="spellEnd"/>
      <w:r>
        <w:t xml:space="preserve"> і обмеженні спільні дії, наприклад «півнячі бої» та ін.</w:t>
      </w:r>
    </w:p>
    <w:p w:rsidR="00126A56" w:rsidRDefault="00126A56" w:rsidP="00126A56">
      <w:r>
        <w:lastRenderedPageBreak/>
        <w:t>6. Підвідні ігри для основних спортивних ігор. Прикладами є футбол, теніс, баскетбол, волейбол, гандбол і американський футбол. Часто правила пристосовують до рівня підготовки і здібностей учасників.</w:t>
      </w:r>
    </w:p>
    <w:p w:rsidR="00126A56" w:rsidRDefault="00126A56" w:rsidP="00126A56">
      <w:r>
        <w:t xml:space="preserve">7. Дитячі ігри. Такі види активності, як </w:t>
      </w:r>
      <w:proofErr w:type="spellStart"/>
      <w:r>
        <w:t>скіттл-бол</w:t>
      </w:r>
      <w:proofErr w:type="spellEnd"/>
      <w:r>
        <w:t xml:space="preserve">, </w:t>
      </w:r>
      <w:proofErr w:type="spellStart"/>
      <w:r>
        <w:t>четвереньки</w:t>
      </w:r>
      <w:proofErr w:type="spellEnd"/>
      <w:r>
        <w:t xml:space="preserve"> і </w:t>
      </w:r>
      <w:proofErr w:type="spellStart"/>
      <w:r>
        <w:t>баунс-бол</w:t>
      </w:r>
      <w:proofErr w:type="spellEnd"/>
      <w:r>
        <w:t>.</w:t>
      </w:r>
    </w:p>
    <w:p w:rsidR="00126A56" w:rsidRDefault="00126A56" w:rsidP="00126A56">
      <w:r>
        <w:t>Спортивні ігри широко застосовуються в фізкультурно-оздоровчих заняттях, окрім оздоровчого ефекту вони супроводжуються зміною середовища діяльності, різноманітністю непередбачуваних ситуацій, викликають позитивні емоції, приносять задоволення, забезпечують активний відпочинок. Якщо вони проводяться на обладнаних майданчиках у паркових, лісових зонах або на березі водоймища посилюється їх рекреаційний вплив за рахунок ландшафтного рефлексу (О.М. Жданова з співав., 2000).</w:t>
      </w:r>
    </w:p>
    <w:p w:rsidR="00126A56" w:rsidRDefault="00126A56" w:rsidP="00126A56">
      <w:r>
        <w:t>До групи спортивно-оздоровчих ігор відносяться: волейбол, баскетбол, футбол, бадмінтон, теніс, настільний теніс, городки, кеглі, гольф.</w:t>
      </w:r>
    </w:p>
    <w:p w:rsidR="00126A56" w:rsidRDefault="00126A56" w:rsidP="00126A56">
      <w:r>
        <w:t xml:space="preserve">Масове захоплення спортивними іграми в зонах відпочинку, на пляжах слугувало приводом для виникнення таких видів як пляжний волейбол, пляжний футбол, </w:t>
      </w:r>
      <w:proofErr w:type="spellStart"/>
      <w:r>
        <w:t>стритбол</w:t>
      </w:r>
      <w:proofErr w:type="spellEnd"/>
      <w:r>
        <w:t>.</w:t>
      </w:r>
    </w:p>
    <w:p w:rsidR="00126A56" w:rsidRDefault="00126A56" w:rsidP="00126A56">
      <w:r>
        <w:t xml:space="preserve">Спортивні ігри, що використовують в рекреаційних заняттях розвивають </w:t>
      </w:r>
      <w:proofErr w:type="spellStart"/>
      <w:r>
        <w:t>швидкісно</w:t>
      </w:r>
      <w:proofErr w:type="spellEnd"/>
      <w:r>
        <w:t>-силові якості, спритність, спеціальну витривалість до</w:t>
      </w:r>
      <w:r w:rsidR="00853070">
        <w:t xml:space="preserve"> </w:t>
      </w:r>
      <w:r>
        <w:t>роботи перемінної потужності, пам’ять, органи відчуття (особливо зір)</w:t>
      </w:r>
      <w:r>
        <w:t>.</w:t>
      </w:r>
    </w:p>
    <w:p w:rsidR="00126A56" w:rsidRDefault="00126A56" w:rsidP="00126A56">
      <w:r>
        <w:t>Одночасно спортивні ігри активізують діяльність нервової системи та внутрішніх органів, підвищують загальну фізичну працездатність.</w:t>
      </w:r>
    </w:p>
    <w:p w:rsidR="00126A56" w:rsidRDefault="00126A56" w:rsidP="00126A56">
      <w:r>
        <w:t>Волейбол характеризується нескладними технічними прийомами й тактичними діями, відсутністю безпосередньої боротьби за м’яч. Інтенсивність рухів залежить від темпу гри, який може змінюватися відповідно до завдань, які вирішуються. Лікувально-оздоровчі можливості гри у волейбол значні, заняття пропонуються навіть хворим на атеросклероз та гіпертонію 1 ступеня. Результати досліджень свідчать про можливості волейболу щодо нормалізації артеріального тиску при гіпертонії та гіпотонії (</w:t>
      </w:r>
      <w:proofErr w:type="spellStart"/>
      <w:r>
        <w:t>Спекторов</w:t>
      </w:r>
      <w:proofErr w:type="spellEnd"/>
      <w:r>
        <w:t>, 1991).</w:t>
      </w:r>
    </w:p>
    <w:p w:rsidR="00126A56" w:rsidRDefault="00126A56" w:rsidP="00126A56">
      <w:r>
        <w:lastRenderedPageBreak/>
        <w:t xml:space="preserve">За даними </w:t>
      </w:r>
      <w:proofErr w:type="spellStart"/>
      <w:r>
        <w:t>радіопульсометрії</w:t>
      </w:r>
      <w:proofErr w:type="spellEnd"/>
      <w:r>
        <w:t xml:space="preserve">, найбільші показники ЧСС в оздоровчому тренуванні спостерігаються при грі у нападі (143 </w:t>
      </w:r>
      <w:proofErr w:type="spellStart"/>
      <w:r>
        <w:t>уд</w:t>
      </w:r>
      <w:proofErr w:type="spellEnd"/>
      <w:r>
        <w:t xml:space="preserve">./хв), а показники ЧСС у практично здорових осіб становлять у середньому 112 </w:t>
      </w:r>
      <w:proofErr w:type="spellStart"/>
      <w:r>
        <w:t>уд</w:t>
      </w:r>
      <w:proofErr w:type="spellEnd"/>
      <w:r>
        <w:t xml:space="preserve">./хв., що забезпечує оздоровчий ефект занять (Галицький, </w:t>
      </w:r>
      <w:proofErr w:type="spellStart"/>
      <w:r>
        <w:t>Лифшиц</w:t>
      </w:r>
      <w:proofErr w:type="spellEnd"/>
      <w:r>
        <w:t>, 1987).</w:t>
      </w:r>
    </w:p>
    <w:p w:rsidR="002643FC" w:rsidRDefault="00126A56" w:rsidP="00126A56">
      <w:r>
        <w:t>Бадмінтон легко засвоюється початківцями. Після 2–3 занять гри у бадмінтон навчається кожна людина. Заняття бадмінтоном можуть використовуватися навіть хворими із паралічем нижніх кінцівок. Наприклад, в одній із лікарень Стокгольма активно використовуються заняття бадмінтоном з хворими, які знаходяться в інвалідних візках. Волан закріплюється на шнурку під стелею, а гравці розміщуються навколо нього. Інструктор робить перший удар, спрямовуючи волан на ракетку одного із гравців. Такі заняття приносять задоволення, сприяють фізичній і соціальній реабілітації хворих. Оздоровчі заняття з бадмінтону проводяться за спрощеними правилами і без застосування сітки. Гра використовується як засіб активного відпочинку і розповсюджена в місцях та закладах відпочинку населення (</w:t>
      </w:r>
      <w:proofErr w:type="spellStart"/>
      <w:r>
        <w:t>Айвазян</w:t>
      </w:r>
      <w:proofErr w:type="spellEnd"/>
      <w:r>
        <w:t xml:space="preserve">, 1986). Теніс називають «природною руховою терапією». Швидка зміна ситуацій, </w:t>
      </w:r>
      <w:proofErr w:type="spellStart"/>
      <w:r>
        <w:t>човниковість</w:t>
      </w:r>
      <w:proofErr w:type="spellEnd"/>
      <w:r>
        <w:t xml:space="preserve"> пересувань, вимоги до відчуття рівноваги роблять теніс корисним для осіб, які страждають неврозами, схильних до пригніченого стану, не впевнених у собі. Під час гри показник ЧСС не перевищує 111 </w:t>
      </w:r>
      <w:proofErr w:type="spellStart"/>
      <w:r>
        <w:t>уд</w:t>
      </w:r>
      <w:proofErr w:type="spellEnd"/>
      <w:r>
        <w:t>./хв, що дає змогу застосувати теніс особам, різного віку та РФС. Однак, теніс складний у технічному відношенні: щоб отримати тренувальне аеробне навантаження, необхідно довго тренуватися із кваліфікованим тренером на спеціальних кортах (</w:t>
      </w:r>
      <w:proofErr w:type="spellStart"/>
      <w:r>
        <w:t>Марусін</w:t>
      </w:r>
      <w:proofErr w:type="spellEnd"/>
      <w:r>
        <w:t xml:space="preserve">, 1991). Настільний теніс – менш складний та вибагливий у плані технічного оснащення. Якщо немає стола для гри, його можна змайструвати самому і встановити у кімнаті або на подвір’ї, спортивному майданчику. Правила гри в настільний теніс досить прості, тому ця гра доступна для всіх бажаючих (Іващенко, </w:t>
      </w:r>
      <w:proofErr w:type="spellStart"/>
      <w:r>
        <w:t>Страпко</w:t>
      </w:r>
      <w:proofErr w:type="spellEnd"/>
      <w:r>
        <w:t>, 1988). Футбол – дуже поширена та популярна гра. Але він дає фізичне</w:t>
      </w:r>
      <w:r>
        <w:t xml:space="preserve"> н</w:t>
      </w:r>
      <w:r>
        <w:t xml:space="preserve">авантаження, що у 2–3 рази перевищує навантаження у вищеназваних іграх. Саме тому футбол, а також баскетбол і хокей як оздоровчі засоби </w:t>
      </w:r>
      <w:r>
        <w:lastRenderedPageBreak/>
        <w:t>рекомендовані лише особам віком до 40 років з вище середнього і високим РФС, що добре володіють технікою гри, після 50 років – колишнім спортсменам, що продовжують тренування і мають високий рівень фізичного стану (</w:t>
      </w:r>
      <w:proofErr w:type="spellStart"/>
      <w:r>
        <w:t>Бондин</w:t>
      </w:r>
      <w:proofErr w:type="spellEnd"/>
      <w:r>
        <w:t>, 1991). В оздоровчому тренуванні частіше використовуються окремі елементи футболу й баскетболу у вигляді спеціальних вправ з метою розвитку аеробних можливостей організму.</w:t>
      </w:r>
    </w:p>
    <w:p w:rsidR="00126A56" w:rsidRDefault="00126A56" w:rsidP="00126A56">
      <w:r>
        <w:t>Дозування навантаження під час оздоровчих занять</w:t>
      </w:r>
      <w:r w:rsidR="00A77432">
        <w:t>.</w:t>
      </w:r>
      <w:r>
        <w:t xml:space="preserve"> Дозування фізичного навантаження залежить від таких показників: – складності техніки й тактики дій; – тривалості гри; – темпу гри; – тривалості пауз для відпочинку під час гри; – ступеня нервово-м’язової напруги; – емоційного фактору; – метеорологічних умов гри (якщо заняття проводяться просто неба). Під час оздоровчих занять спортивними іграми рухова діяльність характеризується різною інтенсивністю, аеробними та анаеробними механізмами енергозабезпечення. Під час проведення оздоровчих занять спортивними іграми не завжди слід покладатися на показники самопочуття гравців. У зв’язку з високим емоційним фоном заняття, значне фізичне навантаження не відчувається. За свідченням дослідників, при хорошому самопочутті гравців та відсутності скарг можуть бути зареєстровані негативні зміни в ЕКГ (як правило, в осіб 40–50 років). Саме тому дуже важливим є контроль за рівнем фізичного навантаження під час занять. За показниками ЧСС заняттях аеробного режиму розрізняють навантаження трьох рівнів: мале (при показниках ЧСС 80–100 </w:t>
      </w:r>
      <w:proofErr w:type="spellStart"/>
      <w:r>
        <w:t>уд</w:t>
      </w:r>
      <w:proofErr w:type="spellEnd"/>
      <w:r>
        <w:t xml:space="preserve">./хв); середнє (100–120 </w:t>
      </w:r>
      <w:proofErr w:type="spellStart"/>
      <w:r>
        <w:t>уд</w:t>
      </w:r>
      <w:proofErr w:type="spellEnd"/>
      <w:r>
        <w:t xml:space="preserve">./хв); велике (120–140 </w:t>
      </w:r>
      <w:proofErr w:type="spellStart"/>
      <w:r>
        <w:t>уд</w:t>
      </w:r>
      <w:proofErr w:type="spellEnd"/>
      <w:r>
        <w:t xml:space="preserve">./хв). Мале навантаження можна отримати під час гри в теніс з інструктором, що подає м’яч під праву руку. Тривалість заняття – 30–40 хвилин з перервами через кожні 10–12 хвилин. Середнє навантаження може бути отримано під час гри у волейбол, без блокуючих та нападаючих стрибків. Допускається гра двох-трьох партій з перервами після кожних 5–7 хвилин. У бадмінтоні середнє навантаження забезпечується звичайною грою, включаючи скорочені удари. Гра може тривати 30–40 хвилин. Середнє навантаження у тенісі досягається грою біля стінки або парною грою з обмеженням швидких пересувань та </w:t>
      </w:r>
      <w:r>
        <w:lastRenderedPageBreak/>
        <w:t>віддалених пробіжок без скорочених та кручених ударів. Тривалість гри для тренованих осіб – 60–90</w:t>
      </w:r>
      <w:r>
        <w:t xml:space="preserve"> </w:t>
      </w:r>
      <w:r>
        <w:t xml:space="preserve">хвилин, для нетренованих – 30–40 хвилин. Велике навантаження може бути отримано грою у волейбол на результат з повним складом команд; у бадмінтоні й тенісі – парною грою на результат. В таблиці 55 наведені максимально допустимі показники ЧСС під час використання спортивних ігор в оздоровчому тренуванні, досліджені та виведені Л. Іващенко і Н. </w:t>
      </w:r>
      <w:proofErr w:type="spellStart"/>
      <w:r>
        <w:t>Страпко</w:t>
      </w:r>
      <w:proofErr w:type="spellEnd"/>
      <w:r>
        <w:t>.</w:t>
      </w:r>
    </w:p>
    <w:p w:rsidR="00126A56" w:rsidRDefault="00126A56" w:rsidP="00126A56"/>
    <w:p w:rsidR="00126A56" w:rsidRDefault="00126A56" w:rsidP="00126A56">
      <w:pPr>
        <w:jc w:val="center"/>
      </w:pPr>
      <w:r w:rsidRPr="00126A56">
        <w:t xml:space="preserve">Максимально допустимі показники ЧСС при використанні </w:t>
      </w:r>
    </w:p>
    <w:p w:rsidR="00126A56" w:rsidRDefault="00126A56" w:rsidP="00126A56">
      <w:pPr>
        <w:jc w:val="center"/>
      </w:pPr>
      <w:r w:rsidRPr="00126A56">
        <w:t>спортивних ігор</w:t>
      </w:r>
    </w:p>
    <w:tbl>
      <w:tblPr>
        <w:tblStyle w:val="a3"/>
        <w:tblW w:w="0" w:type="auto"/>
        <w:tblLook w:val="04A0" w:firstRow="1" w:lastRow="0" w:firstColumn="1" w:lastColumn="0" w:noHBand="0" w:noVBand="1"/>
      </w:tblPr>
      <w:tblGrid>
        <w:gridCol w:w="1557"/>
        <w:gridCol w:w="1557"/>
        <w:gridCol w:w="1557"/>
        <w:gridCol w:w="1558"/>
        <w:gridCol w:w="1558"/>
        <w:gridCol w:w="1558"/>
      </w:tblGrid>
      <w:tr w:rsidR="00126A56" w:rsidTr="00126A56">
        <w:tc>
          <w:tcPr>
            <w:tcW w:w="1557" w:type="dxa"/>
          </w:tcPr>
          <w:p w:rsidR="00126A56" w:rsidRDefault="00126A56" w:rsidP="00126A56">
            <w:pPr>
              <w:ind w:firstLine="0"/>
            </w:pPr>
            <w:r>
              <w:t>Рівень ФС</w:t>
            </w:r>
          </w:p>
          <w:p w:rsidR="00126A56" w:rsidRDefault="00126A56" w:rsidP="00126A56">
            <w:pPr>
              <w:ind w:firstLine="0"/>
              <w:jc w:val="center"/>
            </w:pPr>
          </w:p>
        </w:tc>
        <w:tc>
          <w:tcPr>
            <w:tcW w:w="1557" w:type="dxa"/>
          </w:tcPr>
          <w:p w:rsidR="00126A56" w:rsidRDefault="00126A56" w:rsidP="00126A56">
            <w:pPr>
              <w:ind w:firstLine="0"/>
            </w:pPr>
            <w:r>
              <w:t>20–29</w:t>
            </w:r>
          </w:p>
          <w:p w:rsidR="00126A56" w:rsidRDefault="00126A56" w:rsidP="00126A56">
            <w:pPr>
              <w:ind w:firstLine="0"/>
              <w:jc w:val="center"/>
            </w:pPr>
          </w:p>
        </w:tc>
        <w:tc>
          <w:tcPr>
            <w:tcW w:w="1557" w:type="dxa"/>
          </w:tcPr>
          <w:p w:rsidR="00126A56" w:rsidRDefault="00126A56" w:rsidP="00126A56">
            <w:pPr>
              <w:ind w:firstLine="0"/>
            </w:pPr>
            <w:r>
              <w:t>30–39</w:t>
            </w:r>
          </w:p>
          <w:p w:rsidR="00126A56" w:rsidRDefault="00126A56" w:rsidP="00126A56">
            <w:pPr>
              <w:ind w:firstLine="0"/>
              <w:jc w:val="center"/>
            </w:pPr>
          </w:p>
        </w:tc>
        <w:tc>
          <w:tcPr>
            <w:tcW w:w="1558" w:type="dxa"/>
          </w:tcPr>
          <w:p w:rsidR="00126A56" w:rsidRDefault="00126A56" w:rsidP="00126A56">
            <w:pPr>
              <w:ind w:firstLine="0"/>
            </w:pPr>
            <w:r>
              <w:t>40–49</w:t>
            </w:r>
          </w:p>
          <w:p w:rsidR="00126A56" w:rsidRDefault="00126A56" w:rsidP="00126A56">
            <w:pPr>
              <w:ind w:firstLine="0"/>
              <w:jc w:val="center"/>
            </w:pPr>
          </w:p>
        </w:tc>
        <w:tc>
          <w:tcPr>
            <w:tcW w:w="1558" w:type="dxa"/>
          </w:tcPr>
          <w:p w:rsidR="00126A56" w:rsidRDefault="00126A56" w:rsidP="00126A56">
            <w:pPr>
              <w:ind w:firstLine="0"/>
            </w:pPr>
            <w:r>
              <w:t>50–59</w:t>
            </w:r>
          </w:p>
          <w:p w:rsidR="00126A56" w:rsidRDefault="00126A56" w:rsidP="00126A56">
            <w:pPr>
              <w:ind w:firstLine="0"/>
              <w:jc w:val="center"/>
            </w:pPr>
          </w:p>
        </w:tc>
        <w:tc>
          <w:tcPr>
            <w:tcW w:w="1558" w:type="dxa"/>
          </w:tcPr>
          <w:p w:rsidR="00126A56" w:rsidRDefault="00126A56" w:rsidP="00126A56">
            <w:pPr>
              <w:ind w:firstLine="0"/>
            </w:pPr>
            <w:r>
              <w:t>60–69</w:t>
            </w:r>
          </w:p>
          <w:p w:rsidR="00126A56" w:rsidRDefault="00126A56" w:rsidP="00126A56">
            <w:pPr>
              <w:ind w:firstLine="0"/>
              <w:jc w:val="center"/>
            </w:pPr>
          </w:p>
        </w:tc>
      </w:tr>
      <w:tr w:rsidR="00126A56" w:rsidTr="00126A56">
        <w:tc>
          <w:tcPr>
            <w:tcW w:w="1557" w:type="dxa"/>
          </w:tcPr>
          <w:p w:rsidR="00126A56" w:rsidRDefault="00126A56" w:rsidP="00126A56">
            <w:pPr>
              <w:ind w:firstLine="0"/>
            </w:pPr>
            <w:r>
              <w:t>Низький</w:t>
            </w:r>
          </w:p>
          <w:p w:rsidR="00126A56" w:rsidRDefault="00126A56" w:rsidP="00126A56">
            <w:pPr>
              <w:ind w:firstLine="0"/>
              <w:jc w:val="center"/>
            </w:pPr>
          </w:p>
        </w:tc>
        <w:tc>
          <w:tcPr>
            <w:tcW w:w="1557" w:type="dxa"/>
          </w:tcPr>
          <w:p w:rsidR="00126A56" w:rsidRDefault="00126A56" w:rsidP="00126A56">
            <w:pPr>
              <w:ind w:firstLine="0"/>
              <w:jc w:val="center"/>
            </w:pPr>
            <w:r>
              <w:t>175–180</w:t>
            </w:r>
          </w:p>
        </w:tc>
        <w:tc>
          <w:tcPr>
            <w:tcW w:w="1557" w:type="dxa"/>
          </w:tcPr>
          <w:p w:rsidR="00126A56" w:rsidRDefault="00126A56" w:rsidP="00126A56">
            <w:pPr>
              <w:ind w:firstLine="0"/>
              <w:jc w:val="center"/>
            </w:pPr>
            <w:r>
              <w:t>165–170</w:t>
            </w:r>
          </w:p>
        </w:tc>
        <w:tc>
          <w:tcPr>
            <w:tcW w:w="1558" w:type="dxa"/>
          </w:tcPr>
          <w:p w:rsidR="00126A56" w:rsidRDefault="00126A56" w:rsidP="00126A56">
            <w:pPr>
              <w:ind w:firstLine="0"/>
            </w:pPr>
            <w:r>
              <w:t>155–160</w:t>
            </w:r>
          </w:p>
          <w:p w:rsidR="00126A56" w:rsidRDefault="00126A56" w:rsidP="00126A56">
            <w:pPr>
              <w:ind w:firstLine="0"/>
              <w:jc w:val="center"/>
            </w:pPr>
          </w:p>
        </w:tc>
        <w:tc>
          <w:tcPr>
            <w:tcW w:w="1558" w:type="dxa"/>
          </w:tcPr>
          <w:p w:rsidR="00126A56" w:rsidRDefault="00126A56" w:rsidP="00126A56">
            <w:pPr>
              <w:ind w:firstLine="0"/>
              <w:jc w:val="center"/>
            </w:pPr>
            <w:r>
              <w:t>-</w:t>
            </w:r>
          </w:p>
        </w:tc>
        <w:tc>
          <w:tcPr>
            <w:tcW w:w="1558" w:type="dxa"/>
          </w:tcPr>
          <w:p w:rsidR="00126A56" w:rsidRDefault="00126A56" w:rsidP="00126A56">
            <w:pPr>
              <w:ind w:firstLine="0"/>
              <w:jc w:val="center"/>
            </w:pPr>
            <w:r>
              <w:t>-</w:t>
            </w:r>
          </w:p>
        </w:tc>
      </w:tr>
      <w:tr w:rsidR="00126A56" w:rsidTr="00126A56">
        <w:tc>
          <w:tcPr>
            <w:tcW w:w="1557" w:type="dxa"/>
          </w:tcPr>
          <w:p w:rsidR="00126A56" w:rsidRDefault="00126A56" w:rsidP="00126A56">
            <w:pPr>
              <w:ind w:firstLine="0"/>
            </w:pPr>
            <w:r>
              <w:t>Нижче середнього</w:t>
            </w:r>
          </w:p>
        </w:tc>
        <w:tc>
          <w:tcPr>
            <w:tcW w:w="1557" w:type="dxa"/>
          </w:tcPr>
          <w:p w:rsidR="00126A56" w:rsidRDefault="00126A56" w:rsidP="00126A56">
            <w:pPr>
              <w:ind w:firstLine="0"/>
              <w:jc w:val="center"/>
            </w:pPr>
            <w:r>
              <w:t>180–185</w:t>
            </w:r>
          </w:p>
        </w:tc>
        <w:tc>
          <w:tcPr>
            <w:tcW w:w="1557" w:type="dxa"/>
          </w:tcPr>
          <w:p w:rsidR="00126A56" w:rsidRDefault="00126A56" w:rsidP="00126A56">
            <w:pPr>
              <w:ind w:firstLine="0"/>
              <w:jc w:val="center"/>
            </w:pPr>
            <w:r>
              <w:t>170–175</w:t>
            </w:r>
          </w:p>
        </w:tc>
        <w:tc>
          <w:tcPr>
            <w:tcW w:w="1558" w:type="dxa"/>
          </w:tcPr>
          <w:p w:rsidR="00126A56" w:rsidRDefault="00126A56" w:rsidP="00126A56">
            <w:pPr>
              <w:ind w:firstLine="0"/>
            </w:pPr>
            <w:r>
              <w:t>160–165</w:t>
            </w:r>
          </w:p>
          <w:p w:rsidR="00126A56" w:rsidRDefault="00126A56" w:rsidP="00126A56">
            <w:pPr>
              <w:ind w:firstLine="0"/>
              <w:jc w:val="center"/>
            </w:pPr>
          </w:p>
        </w:tc>
        <w:tc>
          <w:tcPr>
            <w:tcW w:w="1558" w:type="dxa"/>
          </w:tcPr>
          <w:p w:rsidR="00126A56" w:rsidRDefault="00A474F4" w:rsidP="00126A56">
            <w:pPr>
              <w:ind w:firstLine="0"/>
              <w:jc w:val="center"/>
            </w:pPr>
            <w:r>
              <w:t>-</w:t>
            </w:r>
          </w:p>
        </w:tc>
        <w:tc>
          <w:tcPr>
            <w:tcW w:w="1558" w:type="dxa"/>
          </w:tcPr>
          <w:p w:rsidR="00126A56" w:rsidRDefault="00A474F4" w:rsidP="00126A56">
            <w:pPr>
              <w:ind w:firstLine="0"/>
              <w:jc w:val="center"/>
            </w:pPr>
            <w:r>
              <w:t>-</w:t>
            </w:r>
          </w:p>
        </w:tc>
      </w:tr>
      <w:tr w:rsidR="00126A56" w:rsidTr="00126A56">
        <w:tc>
          <w:tcPr>
            <w:tcW w:w="1557" w:type="dxa"/>
          </w:tcPr>
          <w:p w:rsidR="00126A56" w:rsidRDefault="00126A56" w:rsidP="00126A56">
            <w:pPr>
              <w:ind w:firstLine="0"/>
            </w:pPr>
            <w:r>
              <w:t>Середній</w:t>
            </w:r>
          </w:p>
          <w:p w:rsidR="00126A56" w:rsidRDefault="00126A56" w:rsidP="00126A56">
            <w:pPr>
              <w:ind w:firstLine="0"/>
              <w:jc w:val="center"/>
            </w:pPr>
          </w:p>
        </w:tc>
        <w:tc>
          <w:tcPr>
            <w:tcW w:w="1557" w:type="dxa"/>
          </w:tcPr>
          <w:p w:rsidR="00126A56" w:rsidRDefault="00126A56" w:rsidP="00126A56">
            <w:pPr>
              <w:ind w:firstLine="0"/>
              <w:jc w:val="center"/>
            </w:pPr>
            <w:r>
              <w:t>185–190</w:t>
            </w:r>
          </w:p>
        </w:tc>
        <w:tc>
          <w:tcPr>
            <w:tcW w:w="1557" w:type="dxa"/>
          </w:tcPr>
          <w:p w:rsidR="00126A56" w:rsidRDefault="00126A56" w:rsidP="00126A56">
            <w:pPr>
              <w:ind w:firstLine="0"/>
              <w:jc w:val="center"/>
            </w:pPr>
            <w:r>
              <w:t>175–180</w:t>
            </w:r>
          </w:p>
        </w:tc>
        <w:tc>
          <w:tcPr>
            <w:tcW w:w="1558" w:type="dxa"/>
          </w:tcPr>
          <w:p w:rsidR="00126A56" w:rsidRDefault="00126A56" w:rsidP="00126A56">
            <w:pPr>
              <w:ind w:firstLine="0"/>
              <w:jc w:val="center"/>
            </w:pPr>
            <w:r>
              <w:t>165–170</w:t>
            </w:r>
          </w:p>
        </w:tc>
        <w:tc>
          <w:tcPr>
            <w:tcW w:w="1558" w:type="dxa"/>
          </w:tcPr>
          <w:p w:rsidR="00126A56" w:rsidRDefault="00126A56" w:rsidP="00126A56">
            <w:pPr>
              <w:ind w:firstLine="0"/>
              <w:jc w:val="center"/>
            </w:pPr>
            <w:r>
              <w:t>150–155</w:t>
            </w:r>
          </w:p>
        </w:tc>
        <w:tc>
          <w:tcPr>
            <w:tcW w:w="1558" w:type="dxa"/>
          </w:tcPr>
          <w:p w:rsidR="00126A56" w:rsidRDefault="00126A56" w:rsidP="00126A56">
            <w:pPr>
              <w:ind w:firstLine="0"/>
            </w:pPr>
            <w:r>
              <w:t>140–145</w:t>
            </w:r>
          </w:p>
          <w:p w:rsidR="00126A56" w:rsidRDefault="00126A56" w:rsidP="00126A56">
            <w:pPr>
              <w:ind w:firstLine="0"/>
              <w:jc w:val="center"/>
            </w:pPr>
          </w:p>
        </w:tc>
      </w:tr>
      <w:tr w:rsidR="00126A56" w:rsidTr="00126A56">
        <w:tc>
          <w:tcPr>
            <w:tcW w:w="1557" w:type="dxa"/>
          </w:tcPr>
          <w:p w:rsidR="00126A56" w:rsidRDefault="00126A56" w:rsidP="00126A56">
            <w:pPr>
              <w:ind w:firstLine="0"/>
            </w:pPr>
            <w:r>
              <w:t>Вище середнього</w:t>
            </w:r>
          </w:p>
          <w:p w:rsidR="00126A56" w:rsidRDefault="00126A56" w:rsidP="00126A56">
            <w:pPr>
              <w:ind w:firstLine="0"/>
              <w:jc w:val="center"/>
            </w:pPr>
          </w:p>
        </w:tc>
        <w:tc>
          <w:tcPr>
            <w:tcW w:w="1557" w:type="dxa"/>
          </w:tcPr>
          <w:p w:rsidR="00126A56" w:rsidRDefault="00126A56" w:rsidP="00126A56">
            <w:pPr>
              <w:ind w:firstLine="0"/>
              <w:jc w:val="center"/>
            </w:pPr>
            <w:r>
              <w:t>190–195</w:t>
            </w:r>
          </w:p>
        </w:tc>
        <w:tc>
          <w:tcPr>
            <w:tcW w:w="1557" w:type="dxa"/>
          </w:tcPr>
          <w:p w:rsidR="00126A56" w:rsidRDefault="00126A56" w:rsidP="00126A56">
            <w:pPr>
              <w:ind w:firstLine="0"/>
              <w:jc w:val="center"/>
            </w:pPr>
            <w:r>
              <w:t>190–195</w:t>
            </w:r>
          </w:p>
        </w:tc>
        <w:tc>
          <w:tcPr>
            <w:tcW w:w="1558" w:type="dxa"/>
          </w:tcPr>
          <w:p w:rsidR="00126A56" w:rsidRDefault="00126A56" w:rsidP="00126A56">
            <w:pPr>
              <w:ind w:firstLine="0"/>
              <w:jc w:val="center"/>
            </w:pPr>
            <w:r>
              <w:t>170–175</w:t>
            </w:r>
          </w:p>
        </w:tc>
        <w:tc>
          <w:tcPr>
            <w:tcW w:w="1558" w:type="dxa"/>
          </w:tcPr>
          <w:p w:rsidR="00126A56" w:rsidRDefault="00126A56" w:rsidP="00126A56">
            <w:pPr>
              <w:ind w:firstLine="0"/>
              <w:jc w:val="center"/>
            </w:pPr>
            <w:r>
              <w:t>155–160</w:t>
            </w:r>
          </w:p>
        </w:tc>
        <w:tc>
          <w:tcPr>
            <w:tcW w:w="1558" w:type="dxa"/>
          </w:tcPr>
          <w:p w:rsidR="00126A56" w:rsidRDefault="00126A56" w:rsidP="00126A56">
            <w:pPr>
              <w:ind w:firstLine="0"/>
            </w:pPr>
            <w:r>
              <w:t>145–150</w:t>
            </w:r>
          </w:p>
        </w:tc>
      </w:tr>
      <w:tr w:rsidR="00126A56" w:rsidTr="00126A56">
        <w:tc>
          <w:tcPr>
            <w:tcW w:w="1557" w:type="dxa"/>
          </w:tcPr>
          <w:p w:rsidR="00126A56" w:rsidRDefault="00126A56" w:rsidP="00126A56">
            <w:pPr>
              <w:ind w:firstLine="0"/>
            </w:pPr>
            <w:r>
              <w:t>Високий</w:t>
            </w:r>
          </w:p>
          <w:p w:rsidR="00126A56" w:rsidRDefault="00126A56" w:rsidP="00126A56"/>
        </w:tc>
        <w:tc>
          <w:tcPr>
            <w:tcW w:w="1557" w:type="dxa"/>
          </w:tcPr>
          <w:p w:rsidR="00126A56" w:rsidRDefault="00126A56" w:rsidP="00126A56">
            <w:pPr>
              <w:ind w:firstLine="0"/>
              <w:jc w:val="center"/>
            </w:pPr>
            <w:r>
              <w:t>195–200</w:t>
            </w:r>
          </w:p>
        </w:tc>
        <w:tc>
          <w:tcPr>
            <w:tcW w:w="1557" w:type="dxa"/>
          </w:tcPr>
          <w:p w:rsidR="00126A56" w:rsidRDefault="00126A56" w:rsidP="00126A56">
            <w:pPr>
              <w:ind w:firstLine="0"/>
              <w:jc w:val="center"/>
            </w:pPr>
            <w:r>
              <w:t>185–190</w:t>
            </w:r>
          </w:p>
        </w:tc>
        <w:tc>
          <w:tcPr>
            <w:tcW w:w="1558" w:type="dxa"/>
          </w:tcPr>
          <w:p w:rsidR="00126A56" w:rsidRDefault="00126A56" w:rsidP="00126A56">
            <w:pPr>
              <w:ind w:firstLine="0"/>
              <w:jc w:val="center"/>
            </w:pPr>
            <w:r>
              <w:t>175–180</w:t>
            </w:r>
          </w:p>
        </w:tc>
        <w:tc>
          <w:tcPr>
            <w:tcW w:w="1558" w:type="dxa"/>
          </w:tcPr>
          <w:p w:rsidR="00126A56" w:rsidRDefault="00126A56" w:rsidP="00126A56">
            <w:pPr>
              <w:ind w:firstLine="0"/>
              <w:jc w:val="center"/>
            </w:pPr>
            <w:r>
              <w:t>160–165</w:t>
            </w:r>
          </w:p>
        </w:tc>
        <w:tc>
          <w:tcPr>
            <w:tcW w:w="1558" w:type="dxa"/>
          </w:tcPr>
          <w:p w:rsidR="00126A56" w:rsidRDefault="00126A56" w:rsidP="00126A56">
            <w:pPr>
              <w:ind w:firstLine="0"/>
            </w:pPr>
            <w:r>
              <w:t>1</w:t>
            </w:r>
            <w:r>
              <w:t>50–155</w:t>
            </w:r>
          </w:p>
          <w:p w:rsidR="00126A56" w:rsidRDefault="00126A56" w:rsidP="00126A56">
            <w:pPr>
              <w:ind w:firstLine="0"/>
              <w:jc w:val="center"/>
            </w:pPr>
          </w:p>
        </w:tc>
      </w:tr>
    </w:tbl>
    <w:p w:rsidR="00126A56" w:rsidRDefault="00126A56" w:rsidP="00126A56">
      <w:pPr>
        <w:jc w:val="center"/>
      </w:pPr>
    </w:p>
    <w:p w:rsidR="00A474F4" w:rsidRDefault="00A474F4" w:rsidP="00A474F4">
      <w:r>
        <w:t xml:space="preserve">Показники ЧСС свідчать про </w:t>
      </w:r>
      <w:proofErr w:type="spellStart"/>
      <w:r>
        <w:t>аеробно</w:t>
      </w:r>
      <w:proofErr w:type="spellEnd"/>
      <w:r>
        <w:t xml:space="preserve">-анаеробний режим фізичного навантаження. В </w:t>
      </w:r>
      <w:proofErr w:type="spellStart"/>
      <w:r>
        <w:t>оздоровчо</w:t>
      </w:r>
      <w:proofErr w:type="spellEnd"/>
      <w:r>
        <w:t xml:space="preserve">-рекреаційних заняттях спортивними іграми рівень фізичного навантаження значно менший, допускається підвищення ЧСС від вихідного рівня на 60%. Про надмірне фізичне навантаження в оздоровчих заняттях спортивними іграми свідчать: тремор рук та ніг, вираз втоми на обличчі, погіршення постави, зниження активності, скарги на втому та ін. Фахівцю, який проводить заняття, слід обов’язково брати всі названі ознаки до уваги й застосовувати різні методичні прийоми для оптимального дозування навантаження. До них належать: – спрощення правил гри; – скорочення тривалості проведення гри; – зменшення розмірів ігрових </w:t>
      </w:r>
      <w:r>
        <w:lastRenderedPageBreak/>
        <w:t xml:space="preserve">майданчиків; – зменшення ваги м’яча, розмірів воріт та ін.; – збільшення кількості гравців у командах; – вчасність пауз для відпочинку; – послаблення емоційного фактору; –врахування умов зовнішнього середовища (температури, вологості, тиску, сили вітру та ін.). Слід приділяти увагу відновленню ЧСС після завершення ігрового заняття. У добре фізично підготовлених людей ЧСС знижується з 160–170 до 120–130 </w:t>
      </w:r>
      <w:proofErr w:type="spellStart"/>
      <w:r>
        <w:t>уд</w:t>
      </w:r>
      <w:proofErr w:type="spellEnd"/>
      <w:r>
        <w:t>./хв за 60–80 с, у непідготовлених – за 2–3 хвилини і більше (</w:t>
      </w:r>
      <w:proofErr w:type="spellStart"/>
      <w:r>
        <w:t>Спекторов</w:t>
      </w:r>
      <w:proofErr w:type="spellEnd"/>
      <w:r>
        <w:t>, 1991). Оздоровчі заняття спортивними іграми повинні проводитися в екологічно чистих зонах. Дотримання правил безпеки оздоровчих занять вимагає проведення їх на м’якому ґрунті, покритті. Асфальтовані майданчики до проведення занять не придатні. Заборонено проводити оздоровчі тренування під час дощу та після нього на майданчику, покритому</w:t>
      </w:r>
      <w:r>
        <w:t xml:space="preserve"> </w:t>
      </w:r>
      <w:r>
        <w:t xml:space="preserve">водою, при температурі нижче –14°С та вище +25°С. Тільки дотримання правил безпеки зумовить або підсилить оздоровчий вплив занять. </w:t>
      </w:r>
    </w:p>
    <w:p w:rsidR="00A474F4" w:rsidRDefault="00A474F4" w:rsidP="00A474F4">
      <w:r>
        <w:t>ПИТАННЯ ДЛЯ САМОКОНТРОЛЮ</w:t>
      </w:r>
    </w:p>
    <w:p w:rsidR="00A474F4" w:rsidRDefault="00A474F4" w:rsidP="00A474F4">
      <w:r>
        <w:t>1</w:t>
      </w:r>
      <w:r>
        <w:t>. Обґрунтуйте чому спортивні ігри можуть бути засобом оздоровлення різних груп населення.</w:t>
      </w:r>
    </w:p>
    <w:p w:rsidR="00126A56" w:rsidRDefault="00A474F4" w:rsidP="00A474F4">
      <w:r>
        <w:t>2. Від яких показників залежить дозування фізичного навантаження під час рекреаційних занять іграми?</w:t>
      </w:r>
      <w:r w:rsidR="00126A56">
        <w:t xml:space="preserve"> </w:t>
      </w:r>
    </w:p>
    <w:p w:rsidR="00126A56" w:rsidRDefault="00126A56" w:rsidP="00126A56"/>
    <w:sectPr w:rsidR="00126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56"/>
    <w:rsid w:val="00126A56"/>
    <w:rsid w:val="002643FC"/>
    <w:rsid w:val="00853070"/>
    <w:rsid w:val="00A474F4"/>
    <w:rsid w:val="00A77432"/>
    <w:rsid w:val="00FB59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7DCB"/>
  <w15:chartTrackingRefBased/>
  <w15:docId w15:val="{9719CFAF-D49A-49C5-BDF4-E20937BC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A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7784</Words>
  <Characters>4437</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2024-10-30T20:21:00Z</dcterms:created>
  <dcterms:modified xsi:type="dcterms:W3CDTF">2024-10-30T20:51:00Z</dcterms:modified>
</cp:coreProperties>
</file>