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04A60" w14:textId="77777777" w:rsidR="00E57970" w:rsidRPr="00E57970" w:rsidRDefault="00E57970" w:rsidP="00E57970">
      <w:pPr>
        <w:pStyle w:val="af6"/>
        <w:jc w:val="center"/>
        <w:rPr>
          <w:b/>
          <w:bCs/>
          <w:sz w:val="32"/>
          <w:szCs w:val="28"/>
        </w:rPr>
      </w:pPr>
      <w:r w:rsidRPr="00E57970">
        <w:rPr>
          <w:b/>
          <w:bCs/>
          <w:sz w:val="32"/>
          <w:szCs w:val="28"/>
        </w:rPr>
        <w:t>Рекомендована література</w:t>
      </w:r>
    </w:p>
    <w:p w14:paraId="7BDDF990" w14:textId="70A1647E" w:rsidR="00E57970" w:rsidRPr="00E57970" w:rsidRDefault="00E57970" w:rsidP="00E57970">
      <w:pPr>
        <w:pStyle w:val="af6"/>
        <w:ind w:firstLine="0"/>
        <w:rPr>
          <w:lang w:val="uk-UA"/>
        </w:rPr>
      </w:pPr>
    </w:p>
    <w:p w14:paraId="0DBBF0B8" w14:textId="77777777" w:rsidR="00E57970" w:rsidRPr="00E57970" w:rsidRDefault="00E57970" w:rsidP="00E57970">
      <w:pPr>
        <w:pStyle w:val="af6"/>
        <w:numPr>
          <w:ilvl w:val="0"/>
          <w:numId w:val="4"/>
        </w:numPr>
        <w:ind w:left="0" w:firstLine="709"/>
      </w:pPr>
      <w:r w:rsidRPr="00E57970">
        <w:t xml:space="preserve">Угода про асоціацію між Україною, з однієї сторони, та Європейським Союзом, європейським співтовариством з атомної енергії і їхніми державами-членами, з іншої сторони від 27.06.2014 р. URL: </w:t>
      </w:r>
      <w:hyperlink r:id="rId5" w:anchor="n2820" w:history="1">
        <w:r w:rsidRPr="00E57970">
          <w:rPr>
            <w:rStyle w:val="af7"/>
            <w:rFonts w:eastAsiaTheme="majorEastAsia"/>
          </w:rPr>
          <w:t>http://zakon2.rada.gov.ua/laws/show/984_011/paran2820#n2820</w:t>
        </w:r>
      </w:hyperlink>
      <w:r w:rsidRPr="00E57970">
        <w:t xml:space="preserve"> (дата звернення: 16.09.2024)</w:t>
      </w:r>
    </w:p>
    <w:p w14:paraId="7E0E696E" w14:textId="77777777" w:rsidR="00E57970" w:rsidRPr="00E57970" w:rsidRDefault="00E57970" w:rsidP="00E57970">
      <w:pPr>
        <w:pStyle w:val="af6"/>
        <w:numPr>
          <w:ilvl w:val="0"/>
          <w:numId w:val="4"/>
        </w:numPr>
        <w:ind w:left="0" w:firstLine="709"/>
      </w:pPr>
      <w:r w:rsidRPr="00E57970">
        <w:t xml:space="preserve">Беззуб І. Україна-НАТО: стан та перспективи взаємовідносин. URL: </w:t>
      </w:r>
      <w:hyperlink r:id="rId6" w:history="1">
        <w:r w:rsidRPr="00E57970">
          <w:rPr>
            <w:rStyle w:val="af7"/>
            <w:rFonts w:eastAsiaTheme="majorEastAsia"/>
          </w:rPr>
          <w:t>http://nbuviap.gov.ua/index.php?option=com_content&amp;view=article&amp;id=2751:ukrajina-nato-stan-ta-perspektivi-vzaemovidnosin&amp;catid=8&amp;Itemid=350</w:t>
        </w:r>
      </w:hyperlink>
      <w:r w:rsidRPr="00E57970">
        <w:t xml:space="preserve"> (дата звернення: 16.09.2024)</w:t>
      </w:r>
    </w:p>
    <w:p w14:paraId="09EF8FB5" w14:textId="77777777" w:rsidR="00E57970" w:rsidRPr="00E57970" w:rsidRDefault="00E57970" w:rsidP="00E57970">
      <w:pPr>
        <w:pStyle w:val="af6"/>
        <w:numPr>
          <w:ilvl w:val="0"/>
          <w:numId w:val="4"/>
        </w:numPr>
        <w:ind w:left="0" w:firstLine="709"/>
      </w:pPr>
      <w:r w:rsidRPr="00E57970">
        <w:t>Угода про асоціацію між Україною та ЄС: зміст та імплементація. Лабораторія законодавчих ініціатив. URL: https://parlament.org.ua/wp- content/uploads/2018/03/1.pdf (дата звернення: 16.09.2024)</w:t>
      </w:r>
    </w:p>
    <w:p w14:paraId="4668D836" w14:textId="77777777" w:rsidR="00E57970" w:rsidRPr="00E57970" w:rsidRDefault="00E57970" w:rsidP="00E57970">
      <w:pPr>
        <w:pStyle w:val="af6"/>
        <w:numPr>
          <w:ilvl w:val="0"/>
          <w:numId w:val="4"/>
        </w:numPr>
        <w:ind w:left="0" w:firstLine="709"/>
      </w:pPr>
      <w:r w:rsidRPr="00E57970">
        <w:t>European Parliament. Fact Sheets on the European Union. Foreign policy: aims, instruments and achievements. URL: </w:t>
      </w:r>
      <w:hyperlink r:id="rId7" w:tgtFrame="[object Object]" w:history="1">
        <w:r w:rsidRPr="00E57970">
          <w:rPr>
            <w:rStyle w:val="af7"/>
            <w:rFonts w:eastAsiaTheme="majorEastAsia"/>
          </w:rPr>
          <w:t>http://www.europarl.europa.eu/factsheets/en/sheet/158/foreign-policy-aims-instruments-and-achievements</w:t>
        </w:r>
      </w:hyperlink>
      <w:r w:rsidRPr="00E57970">
        <w:t> (дата звернення: 16.09.2024)</w:t>
      </w:r>
    </w:p>
    <w:p w14:paraId="3F3B7811" w14:textId="77777777" w:rsidR="00E57970" w:rsidRPr="00E57970" w:rsidRDefault="00E57970" w:rsidP="00E57970">
      <w:pPr>
        <w:pStyle w:val="af6"/>
        <w:numPr>
          <w:ilvl w:val="0"/>
          <w:numId w:val="4"/>
        </w:numPr>
        <w:ind w:left="0" w:firstLine="709"/>
      </w:pPr>
      <w:r w:rsidRPr="00E57970">
        <w:t>Treaty on European Union. Chapter 2. Specific Provisions on the Common Foreign and Security Policy. URL: </w:t>
      </w:r>
      <w:hyperlink r:id="rId8" w:tgtFrame="[object Object]" w:history="1">
        <w:r w:rsidRPr="00E57970">
          <w:rPr>
            <w:rStyle w:val="af7"/>
            <w:rFonts w:eastAsiaTheme="majorEastAsia"/>
          </w:rPr>
          <w:t>https://eur-lex.europa.eu/legal-content/EN/TXT/?uri=celex%3A12012M%2FTXT</w:t>
        </w:r>
      </w:hyperlink>
      <w:r w:rsidRPr="00E57970">
        <w:t xml:space="preserve"> (дата звернення: 16.09.2024)</w:t>
      </w:r>
    </w:p>
    <w:p w14:paraId="677A05F5" w14:textId="77777777" w:rsidR="00E57970" w:rsidRPr="00E57970" w:rsidRDefault="00E57970" w:rsidP="00E57970">
      <w:pPr>
        <w:pStyle w:val="af6"/>
        <w:numPr>
          <w:ilvl w:val="0"/>
          <w:numId w:val="4"/>
        </w:numPr>
        <w:ind w:left="0" w:firstLine="709"/>
      </w:pPr>
      <w:r w:rsidRPr="00E57970">
        <w:t>Зміцнення відносин між НАТО і ЄС / Офіційний сайт НАТО: URL:   </w:t>
      </w:r>
      <w:hyperlink r:id="rId9" w:tgtFrame="[object Object]" w:history="1">
        <w:r w:rsidRPr="00E57970">
          <w:rPr>
            <w:rStyle w:val="af7"/>
            <w:rFonts w:eastAsiaTheme="majorEastAsia"/>
          </w:rPr>
          <w:t>https://www.nato.int/docu/review/2019/Also-in-2019/strengthening-eu-nato-relations/UK/index.htm</w:t>
        </w:r>
      </w:hyperlink>
      <w:r w:rsidRPr="00E57970">
        <w:t xml:space="preserve"> (дата звернення: 16.09.2024)</w:t>
      </w:r>
    </w:p>
    <w:p w14:paraId="4F43636A" w14:textId="77777777" w:rsidR="00E57970" w:rsidRPr="00E57970" w:rsidRDefault="00E57970" w:rsidP="00E57970">
      <w:pPr>
        <w:pStyle w:val="af6"/>
        <w:numPr>
          <w:ilvl w:val="0"/>
          <w:numId w:val="4"/>
        </w:numPr>
        <w:ind w:left="0" w:firstLine="709"/>
      </w:pPr>
      <w:r w:rsidRPr="00E57970">
        <w:lastRenderedPageBreak/>
        <w:t>Центр інформації та документації НАТО в Україні: URL:   </w:t>
      </w:r>
      <w:hyperlink r:id="rId10" w:tgtFrame="[object Object]" w:history="1">
        <w:r w:rsidRPr="00E57970">
          <w:rPr>
            <w:rStyle w:val="af7"/>
            <w:rFonts w:eastAsiaTheme="majorEastAsia"/>
          </w:rPr>
          <w:t>https://www.nato.int/cps/uk/natolive/topics_64610.htm</w:t>
        </w:r>
      </w:hyperlink>
      <w:r w:rsidRPr="00E57970">
        <w:t xml:space="preserve"> (дата звернення: 16.09.2024)</w:t>
      </w:r>
    </w:p>
    <w:p w14:paraId="6749CA6C" w14:textId="77777777" w:rsidR="00E57970" w:rsidRPr="00E57970" w:rsidRDefault="00E57970" w:rsidP="00E57970">
      <w:pPr>
        <w:pStyle w:val="af6"/>
        <w:numPr>
          <w:ilvl w:val="0"/>
          <w:numId w:val="4"/>
        </w:numPr>
        <w:ind w:left="0" w:firstLine="709"/>
      </w:pPr>
      <w:r w:rsidRPr="00E57970">
        <w:t xml:space="preserve">Офіційний сайт Європейського Союзу URL:    </w:t>
      </w:r>
      <w:hyperlink r:id="rId11" w:history="1">
        <w:r w:rsidRPr="00E57970">
          <w:rPr>
            <w:rStyle w:val="af7"/>
            <w:rFonts w:eastAsiaTheme="majorEastAsia"/>
          </w:rPr>
          <w:t>http://europa.eu/index_en.htm</w:t>
        </w:r>
      </w:hyperlink>
      <w:r w:rsidRPr="00E57970">
        <w:t xml:space="preserve"> (дата звернення: 16.09.2024)</w:t>
      </w:r>
    </w:p>
    <w:p w14:paraId="14E7872D" w14:textId="77777777" w:rsidR="00E57970" w:rsidRPr="00E57970" w:rsidRDefault="00E57970" w:rsidP="00E57970">
      <w:pPr>
        <w:pStyle w:val="af6"/>
        <w:numPr>
          <w:ilvl w:val="0"/>
          <w:numId w:val="4"/>
        </w:numPr>
        <w:ind w:left="0" w:firstLine="709"/>
      </w:pPr>
      <w:r w:rsidRPr="00E57970">
        <w:t>Представництво Європейського Союзу в Україні URL:   </w:t>
      </w:r>
      <w:hyperlink r:id="rId12" w:history="1">
        <w:r w:rsidRPr="00E57970">
          <w:rPr>
            <w:rStyle w:val="af7"/>
            <w:rFonts w:eastAsiaTheme="majorEastAsia"/>
          </w:rPr>
          <w:t>http://eeas.europa.eu/delegations/ukraine/index_uk.htm</w:t>
        </w:r>
      </w:hyperlink>
      <w:r w:rsidRPr="00E57970">
        <w:t xml:space="preserve"> (дата звернення: 16.09.2024)</w:t>
      </w:r>
    </w:p>
    <w:p w14:paraId="11397915" w14:textId="77777777" w:rsidR="00E57970" w:rsidRPr="00E57970" w:rsidRDefault="00E57970" w:rsidP="00E57970">
      <w:pPr>
        <w:pStyle w:val="af6"/>
        <w:numPr>
          <w:ilvl w:val="0"/>
          <w:numId w:val="4"/>
        </w:numPr>
        <w:ind w:left="0" w:firstLine="709"/>
      </w:pPr>
      <w:r w:rsidRPr="00E57970">
        <w:t xml:space="preserve">Офіційний сайт Ради Європи URL:    </w:t>
      </w:r>
      <w:hyperlink r:id="rId13" w:history="1">
        <w:r w:rsidRPr="00E57970">
          <w:rPr>
            <w:rStyle w:val="af7"/>
            <w:rFonts w:eastAsiaTheme="majorEastAsia"/>
          </w:rPr>
          <w:t>http://www.coe.int</w:t>
        </w:r>
      </w:hyperlink>
      <w:r w:rsidRPr="00E57970">
        <w:t xml:space="preserve"> (дата звернення: 16.09.2024)</w:t>
      </w:r>
    </w:p>
    <w:p w14:paraId="64E6C2CA" w14:textId="77777777" w:rsidR="00E57970" w:rsidRPr="00E57970" w:rsidRDefault="00E57970" w:rsidP="00E57970">
      <w:pPr>
        <w:pStyle w:val="af6"/>
        <w:numPr>
          <w:ilvl w:val="0"/>
          <w:numId w:val="4"/>
        </w:numPr>
        <w:ind w:left="0" w:firstLine="709"/>
      </w:pPr>
      <w:r w:rsidRPr="00E57970">
        <w:t xml:space="preserve">Бюро інформації Ради Європи в Україні URL:    </w:t>
      </w:r>
      <w:hyperlink r:id="rId14" w:history="1">
        <w:r w:rsidRPr="00E57970">
          <w:rPr>
            <w:rStyle w:val="af7"/>
            <w:rFonts w:eastAsiaTheme="majorEastAsia"/>
          </w:rPr>
          <w:t>http://www.jso-era.org/ua</w:t>
        </w:r>
      </w:hyperlink>
      <w:r w:rsidRPr="00E57970">
        <w:t xml:space="preserve"> (дата звернення: 16.09.2024)</w:t>
      </w:r>
    </w:p>
    <w:p w14:paraId="03CBA703" w14:textId="77777777" w:rsidR="00E57970" w:rsidRPr="00E57970" w:rsidRDefault="00E57970" w:rsidP="00E57970">
      <w:pPr>
        <w:pStyle w:val="af6"/>
      </w:pPr>
    </w:p>
    <w:p w14:paraId="36D2D995" w14:textId="77777777" w:rsidR="00E57970" w:rsidRPr="00E57970" w:rsidRDefault="00E57970" w:rsidP="00E57970">
      <w:pPr>
        <w:pStyle w:val="af6"/>
        <w:jc w:val="center"/>
        <w:rPr>
          <w:b/>
          <w:bCs/>
        </w:rPr>
      </w:pPr>
      <w:r w:rsidRPr="00E57970">
        <w:rPr>
          <w:b/>
          <w:bCs/>
        </w:rPr>
        <w:t>Перелік нормативно-правових актів</w:t>
      </w:r>
    </w:p>
    <w:p w14:paraId="51F20B82" w14:textId="77777777" w:rsidR="00E57970" w:rsidRPr="00E57970" w:rsidRDefault="00E57970" w:rsidP="00E57970">
      <w:pPr>
        <w:pStyle w:val="af6"/>
      </w:pPr>
      <w:r w:rsidRPr="00E57970">
        <w:tab/>
      </w:r>
    </w:p>
    <w:p w14:paraId="4DB06706" w14:textId="77777777" w:rsidR="00E57970" w:rsidRPr="00E57970" w:rsidRDefault="00E57970" w:rsidP="00E57970">
      <w:pPr>
        <w:pStyle w:val="af6"/>
        <w:numPr>
          <w:ilvl w:val="0"/>
          <w:numId w:val="4"/>
        </w:numPr>
        <w:ind w:left="0" w:firstLine="851"/>
      </w:pPr>
      <w:r w:rsidRPr="00E57970">
        <w:t>Закон України «Про ратифікацію Угоди про асоціацію між Україною, з однієї сторони, та Європейським Союзом, Європейським співтовариством з атомної енергії і їхніми державами-членами, з іншої сторони» № 1678-VII від 16 верес. 2014 р. URL: http://zakon0.rada.gov.ua/ laws/show/1678-18  (дата звернення: 05.05.2021)</w:t>
      </w:r>
    </w:p>
    <w:p w14:paraId="036D2122" w14:textId="77777777" w:rsidR="00E57970" w:rsidRPr="00E57970" w:rsidRDefault="00E57970" w:rsidP="00E57970">
      <w:pPr>
        <w:pStyle w:val="af6"/>
        <w:numPr>
          <w:ilvl w:val="0"/>
          <w:numId w:val="4"/>
        </w:numPr>
        <w:ind w:left="0" w:firstLine="851"/>
      </w:pPr>
      <w:r w:rsidRPr="00E57970">
        <w:t>Закон України від 21.09.2011 №3764-VI «Про ратифікацію Протоколу до Угоди про партнерство і співробітництво між Україною і Європейськими Співтовариствами та їх державами-членами про Рамкову угоду між Україною та Європейським Співтовариством про загальні принципи участі України в програмах Співтовариства»</w:t>
      </w:r>
    </w:p>
    <w:p w14:paraId="0C9CC190" w14:textId="77777777" w:rsidR="00E57970" w:rsidRPr="00E57970" w:rsidRDefault="00E57970" w:rsidP="00E57970">
      <w:pPr>
        <w:pStyle w:val="af6"/>
        <w:numPr>
          <w:ilvl w:val="0"/>
          <w:numId w:val="4"/>
        </w:numPr>
        <w:ind w:left="0" w:firstLine="851"/>
      </w:pPr>
      <w:r w:rsidRPr="00E57970">
        <w:t>Закон України від 06.03.2008 №137-VI «Про ратифікацію Угоди між Європейським Союзом і Україною про визначення загальної схеми участі України в операціях Європейського Союзу із врегулюванням криз»</w:t>
      </w:r>
    </w:p>
    <w:p w14:paraId="74BA6B3B" w14:textId="77777777" w:rsidR="00E57970" w:rsidRPr="00E57970" w:rsidRDefault="00E57970" w:rsidP="00E57970">
      <w:pPr>
        <w:pStyle w:val="af6"/>
        <w:numPr>
          <w:ilvl w:val="0"/>
          <w:numId w:val="4"/>
        </w:numPr>
        <w:ind w:left="0" w:firstLine="851"/>
      </w:pPr>
      <w:r w:rsidRPr="00E57970">
        <w:lastRenderedPageBreak/>
        <w:t>Закон України від 15.01.2008 №117-VІ «Про ратифікацію Угоди між Україною та Європейським Співтовариством про спрощення оформлення віз»</w:t>
      </w:r>
    </w:p>
    <w:p w14:paraId="2EB09FEF" w14:textId="77777777" w:rsidR="00E57970" w:rsidRPr="00E57970" w:rsidRDefault="00E57970" w:rsidP="00E57970">
      <w:pPr>
        <w:pStyle w:val="af6"/>
        <w:numPr>
          <w:ilvl w:val="0"/>
          <w:numId w:val="4"/>
        </w:numPr>
        <w:ind w:left="0" w:firstLine="851"/>
      </w:pPr>
      <w:r w:rsidRPr="00E57970">
        <w:t>Указ Президента України від 19.12.2007 №1236/2007 «Про заходи щодо активізації євроінтеграційного прикордонного співробітництва»</w:t>
      </w:r>
    </w:p>
    <w:p w14:paraId="48F46412" w14:textId="77777777" w:rsidR="00E57970" w:rsidRPr="00E57970" w:rsidRDefault="00E57970" w:rsidP="00E57970">
      <w:pPr>
        <w:pStyle w:val="af6"/>
        <w:numPr>
          <w:ilvl w:val="0"/>
          <w:numId w:val="4"/>
        </w:numPr>
        <w:ind w:left="0" w:firstLine="851"/>
      </w:pPr>
      <w:r w:rsidRPr="00E57970">
        <w:t>Постанова Верховної Ради України від 27.06.2007 №1242-V «Про Рекомендації парламентських слухань на тему: «Про інтенсифікацію співробітництва України з Європейським Союзом у рамках єврорегіонів та перспективи транскордонного співробітництва»</w:t>
      </w:r>
    </w:p>
    <w:p w14:paraId="62AFF4FB" w14:textId="77777777" w:rsidR="00E57970" w:rsidRPr="00E57970" w:rsidRDefault="00E57970" w:rsidP="00E57970">
      <w:pPr>
        <w:pStyle w:val="af6"/>
        <w:numPr>
          <w:ilvl w:val="0"/>
          <w:numId w:val="4"/>
        </w:numPr>
        <w:ind w:left="0" w:firstLine="851"/>
      </w:pPr>
      <w:r w:rsidRPr="00E57970">
        <w:t>Закон України від 18.03.2004 №1629-IV «Про Загальнодержавну програму адаптації законодавства України до законодавства Європейського Союзу»</w:t>
      </w:r>
    </w:p>
    <w:p w14:paraId="13563759" w14:textId="77777777" w:rsidR="00E57970" w:rsidRPr="00E57970" w:rsidRDefault="00E57970" w:rsidP="00E57970">
      <w:pPr>
        <w:pStyle w:val="af6"/>
        <w:numPr>
          <w:ilvl w:val="0"/>
          <w:numId w:val="4"/>
        </w:numPr>
        <w:ind w:left="0" w:firstLine="851"/>
      </w:pPr>
      <w:r w:rsidRPr="00E57970">
        <w:t>Порядок денний асоціації Україна – ЄС із внесеними змінами (20.06.2011)</w:t>
      </w:r>
    </w:p>
    <w:p w14:paraId="6D9615F7" w14:textId="77777777" w:rsidR="00E57970" w:rsidRPr="00E57970" w:rsidRDefault="00E57970" w:rsidP="00E57970">
      <w:pPr>
        <w:pStyle w:val="af6"/>
        <w:numPr>
          <w:ilvl w:val="0"/>
          <w:numId w:val="4"/>
        </w:numPr>
        <w:ind w:left="0" w:firstLine="851"/>
      </w:pPr>
      <w:r w:rsidRPr="00E57970">
        <w:t>План дій Україна – ЄС (Дата схвалення Радою з питань співробітництва між Україною і Європейським Союзом: 21.02.2005)</w:t>
      </w:r>
    </w:p>
    <w:p w14:paraId="31D58D42" w14:textId="77777777" w:rsidR="00E57970" w:rsidRPr="00E57970" w:rsidRDefault="00E57970" w:rsidP="00E57970">
      <w:pPr>
        <w:pStyle w:val="af6"/>
        <w:numPr>
          <w:ilvl w:val="0"/>
          <w:numId w:val="4"/>
        </w:numPr>
        <w:ind w:left="0" w:firstLine="851"/>
      </w:pPr>
      <w:r w:rsidRPr="00E57970">
        <w:t>Угода про партнерство та співробітництво між Україною і Європейськими Співтовариствами та їх державами членами (Угоду ратифіковано Законом №237/94-ВР від 10.11.1994)</w:t>
      </w:r>
    </w:p>
    <w:p w14:paraId="6898DF70" w14:textId="77777777" w:rsidR="00E57970" w:rsidRPr="00E57970" w:rsidRDefault="00E57970" w:rsidP="00E57970">
      <w:pPr>
        <w:pStyle w:val="af6"/>
        <w:numPr>
          <w:ilvl w:val="0"/>
          <w:numId w:val="4"/>
        </w:numPr>
        <w:ind w:left="0" w:firstLine="851"/>
      </w:pPr>
      <w:r w:rsidRPr="00E57970">
        <w:t>Робочий документ Європейської Комісії до Комунікації «Східне партнерство» від 03.12.2008</w:t>
      </w:r>
    </w:p>
    <w:p w14:paraId="4BC0A9F2" w14:textId="77777777" w:rsidR="00E57970" w:rsidRPr="00E57970" w:rsidRDefault="00E57970" w:rsidP="00E57970">
      <w:pPr>
        <w:pStyle w:val="af6"/>
        <w:numPr>
          <w:ilvl w:val="0"/>
          <w:numId w:val="4"/>
        </w:numPr>
        <w:ind w:left="0" w:firstLine="851"/>
      </w:pPr>
      <w:r w:rsidRPr="00E57970">
        <w:t>Робочий документ Європейської Комісії. Додаток до Повідомлення Європейської Комісії для Ради ЄС та Європейського Парламенту про посилення європейської політики сусідства (Брюссель, 04.12.2006)</w:t>
      </w:r>
    </w:p>
    <w:p w14:paraId="39449616" w14:textId="77777777" w:rsidR="00E57970" w:rsidRPr="00E57970" w:rsidRDefault="00E57970" w:rsidP="00E57970">
      <w:pPr>
        <w:pStyle w:val="af6"/>
        <w:numPr>
          <w:ilvl w:val="0"/>
          <w:numId w:val="4"/>
        </w:numPr>
        <w:ind w:left="0" w:firstLine="851"/>
      </w:pPr>
      <w:r w:rsidRPr="00E57970">
        <w:t>Повідомлення Європейської Комісії «Прокладаючи шлях для запровадження нового Інструмента відносин з країнами-сусідами» (Брюссель, 01.07.2003)</w:t>
      </w:r>
    </w:p>
    <w:p w14:paraId="173E966C" w14:textId="77777777" w:rsidR="00E57970" w:rsidRPr="00E57970" w:rsidRDefault="00E57970" w:rsidP="00E57970">
      <w:pPr>
        <w:pStyle w:val="af6"/>
        <w:numPr>
          <w:ilvl w:val="0"/>
          <w:numId w:val="4"/>
        </w:numPr>
        <w:ind w:left="0" w:firstLine="851"/>
      </w:pPr>
      <w:r w:rsidRPr="00E57970">
        <w:lastRenderedPageBreak/>
        <w:t>Спільна стратегія ЄС щодо України від 11.12.1999</w:t>
      </w:r>
    </w:p>
    <w:p w14:paraId="15D93199" w14:textId="77777777" w:rsidR="00146404" w:rsidRPr="00E57970" w:rsidRDefault="00146404" w:rsidP="00E57970">
      <w:pPr>
        <w:pStyle w:val="af6"/>
      </w:pPr>
    </w:p>
    <w:sectPr w:rsidR="00146404" w:rsidRPr="00E579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D4685"/>
    <w:multiLevelType w:val="multilevel"/>
    <w:tmpl w:val="0E92459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1" w15:restartNumberingAfterBreak="0">
    <w:nsid w:val="5F07638E"/>
    <w:multiLevelType w:val="hybridMultilevel"/>
    <w:tmpl w:val="30EC4C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3C755A"/>
    <w:multiLevelType w:val="hybridMultilevel"/>
    <w:tmpl w:val="BFCC955E"/>
    <w:lvl w:ilvl="0" w:tplc="AED808EE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98609B"/>
    <w:multiLevelType w:val="hybridMultilevel"/>
    <w:tmpl w:val="37AAD32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970"/>
    <w:rsid w:val="00146404"/>
    <w:rsid w:val="0071799E"/>
    <w:rsid w:val="00897540"/>
    <w:rsid w:val="00B5035F"/>
    <w:rsid w:val="00E57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D8592"/>
  <w15:chartTrackingRefBased/>
  <w15:docId w15:val="{4FE74994-56B7-C241-8ED2-B88C9DB1F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7970"/>
    <w:rPr>
      <w:rFonts w:ascii="Times New Roman" w:eastAsia="Times New Roman" w:hAnsi="Times New Roman" w:cs="Times New Roman"/>
      <w:lang w:val="ru-UA" w:eastAsia="ru-RU"/>
    </w:rPr>
  </w:style>
  <w:style w:type="paragraph" w:styleId="10">
    <w:name w:val="heading 1"/>
    <w:basedOn w:val="a"/>
    <w:next w:val="a"/>
    <w:link w:val="11"/>
    <w:uiPriority w:val="9"/>
    <w:qFormat/>
    <w:rsid w:val="0071799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799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A5A5A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799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799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A5A5A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799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A5A5A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799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799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799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799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71799E"/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1799E"/>
    <w:rPr>
      <w:rFonts w:asciiTheme="majorHAnsi" w:eastAsiaTheme="majorEastAsia" w:hAnsiTheme="majorHAnsi" w:cstheme="majorBidi"/>
      <w:color w:val="A5A5A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71799E"/>
    <w:rPr>
      <w:rFonts w:asciiTheme="majorHAnsi" w:eastAsiaTheme="majorEastAsia" w:hAnsiTheme="majorHAnsi" w:cstheme="majorBidi"/>
      <w:color w:val="6E6E6E" w:themeColor="accent1" w:themeShade="7F"/>
    </w:rPr>
  </w:style>
  <w:style w:type="character" w:customStyle="1" w:styleId="40">
    <w:name w:val="Заголовок 4 Знак"/>
    <w:basedOn w:val="a0"/>
    <w:link w:val="4"/>
    <w:uiPriority w:val="9"/>
    <w:semiHidden/>
    <w:rsid w:val="0071799E"/>
    <w:rPr>
      <w:rFonts w:asciiTheme="majorHAnsi" w:eastAsiaTheme="majorEastAsia" w:hAnsiTheme="majorHAnsi" w:cstheme="majorBidi"/>
      <w:i/>
      <w:iCs/>
      <w:color w:val="A5A5A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1799E"/>
    <w:rPr>
      <w:rFonts w:asciiTheme="majorHAnsi" w:eastAsiaTheme="majorEastAsia" w:hAnsiTheme="majorHAnsi" w:cstheme="majorBidi"/>
      <w:color w:val="A5A5A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1799E"/>
    <w:rPr>
      <w:rFonts w:asciiTheme="majorHAnsi" w:eastAsiaTheme="majorEastAsia" w:hAnsiTheme="majorHAnsi" w:cstheme="majorBidi"/>
      <w:color w:val="6E6E6E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71799E"/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71799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71799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71799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179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ody Text"/>
    <w:basedOn w:val="a"/>
    <w:link w:val="a6"/>
    <w:qFormat/>
    <w:rsid w:val="0071799E"/>
    <w:pPr>
      <w:widowControl w:val="0"/>
      <w:autoSpaceDE w:val="0"/>
      <w:autoSpaceDN w:val="0"/>
    </w:pPr>
    <w:rPr>
      <w:sz w:val="32"/>
      <w:szCs w:val="32"/>
    </w:rPr>
  </w:style>
  <w:style w:type="character" w:customStyle="1" w:styleId="a6">
    <w:name w:val="Основной текст Знак"/>
    <w:basedOn w:val="a0"/>
    <w:link w:val="a5"/>
    <w:uiPriority w:val="1"/>
    <w:rsid w:val="0071799E"/>
    <w:rPr>
      <w:rFonts w:ascii="Times New Roman" w:eastAsia="Times New Roman" w:hAnsi="Times New Roman" w:cs="Times New Roman"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rsid w:val="0071799E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a8">
    <w:name w:val="Подзаголовок Знак"/>
    <w:basedOn w:val="a0"/>
    <w:link w:val="a7"/>
    <w:uiPriority w:val="11"/>
    <w:rsid w:val="0071799E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a9">
    <w:name w:val="Strong"/>
    <w:uiPriority w:val="22"/>
    <w:qFormat/>
    <w:rsid w:val="0071799E"/>
    <w:rPr>
      <w:b/>
      <w:bCs/>
    </w:rPr>
  </w:style>
  <w:style w:type="character" w:styleId="aa">
    <w:name w:val="Emphasis"/>
    <w:uiPriority w:val="20"/>
    <w:qFormat/>
    <w:rsid w:val="0071799E"/>
    <w:rPr>
      <w:i/>
      <w:iCs/>
    </w:rPr>
  </w:style>
  <w:style w:type="paragraph" w:styleId="ab">
    <w:name w:val="No Spacing"/>
    <w:basedOn w:val="a"/>
    <w:uiPriority w:val="1"/>
    <w:qFormat/>
    <w:rsid w:val="0071799E"/>
  </w:style>
  <w:style w:type="paragraph" w:styleId="ac">
    <w:name w:val="List Paragraph"/>
    <w:basedOn w:val="a"/>
    <w:uiPriority w:val="34"/>
    <w:qFormat/>
    <w:rsid w:val="0071799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1799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1799E"/>
    <w:rPr>
      <w:i/>
      <w:iCs/>
      <w:color w:val="404040" w:themeColor="text1" w:themeTint="BF"/>
    </w:rPr>
  </w:style>
  <w:style w:type="paragraph" w:styleId="ad">
    <w:name w:val="Intense Quote"/>
    <w:basedOn w:val="a"/>
    <w:next w:val="a"/>
    <w:link w:val="ae"/>
    <w:uiPriority w:val="30"/>
    <w:qFormat/>
    <w:rsid w:val="0071799E"/>
    <w:pPr>
      <w:pBdr>
        <w:top w:val="single" w:sz="4" w:space="10" w:color="DDDDDD" w:themeColor="accent1"/>
        <w:bottom w:val="single" w:sz="4" w:space="10" w:color="DDDDDD" w:themeColor="accent1"/>
      </w:pBdr>
      <w:spacing w:before="360" w:after="360"/>
      <w:ind w:left="864" w:right="864"/>
      <w:jc w:val="center"/>
    </w:pPr>
    <w:rPr>
      <w:i/>
      <w:iCs/>
      <w:color w:val="DDDDD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71799E"/>
    <w:rPr>
      <w:i/>
      <w:iCs/>
      <w:color w:val="DDDDDD" w:themeColor="accent1"/>
    </w:rPr>
  </w:style>
  <w:style w:type="character" w:styleId="af">
    <w:name w:val="Subtle Emphasis"/>
    <w:uiPriority w:val="19"/>
    <w:qFormat/>
    <w:rsid w:val="0071799E"/>
    <w:rPr>
      <w:i/>
      <w:iCs/>
      <w:color w:val="404040" w:themeColor="text1" w:themeTint="BF"/>
    </w:rPr>
  </w:style>
  <w:style w:type="character" w:styleId="af0">
    <w:name w:val="Intense Emphasis"/>
    <w:uiPriority w:val="21"/>
    <w:qFormat/>
    <w:rsid w:val="0071799E"/>
    <w:rPr>
      <w:i/>
      <w:iCs/>
      <w:color w:val="DDDDDD" w:themeColor="accent1"/>
    </w:rPr>
  </w:style>
  <w:style w:type="character" w:styleId="af1">
    <w:name w:val="Subtle Reference"/>
    <w:basedOn w:val="a0"/>
    <w:uiPriority w:val="31"/>
    <w:qFormat/>
    <w:rsid w:val="0071799E"/>
    <w:rPr>
      <w:smallCaps/>
      <w:color w:val="5A5A5A" w:themeColor="text1" w:themeTint="A5"/>
    </w:rPr>
  </w:style>
  <w:style w:type="character" w:styleId="af2">
    <w:name w:val="Intense Reference"/>
    <w:uiPriority w:val="32"/>
    <w:qFormat/>
    <w:rsid w:val="0071799E"/>
    <w:rPr>
      <w:b/>
      <w:bCs/>
      <w:smallCaps/>
      <w:color w:val="DDDDDD" w:themeColor="accent1"/>
      <w:spacing w:val="5"/>
    </w:rPr>
  </w:style>
  <w:style w:type="character" w:styleId="af3">
    <w:name w:val="Book Title"/>
    <w:basedOn w:val="a0"/>
    <w:uiPriority w:val="33"/>
    <w:qFormat/>
    <w:rsid w:val="0071799E"/>
    <w:rPr>
      <w:b/>
      <w:bCs/>
      <w:i/>
      <w:iCs/>
      <w:spacing w:val="5"/>
    </w:rPr>
  </w:style>
  <w:style w:type="paragraph" w:styleId="af4">
    <w:name w:val="TOC Heading"/>
    <w:basedOn w:val="10"/>
    <w:next w:val="a"/>
    <w:uiPriority w:val="39"/>
    <w:semiHidden/>
    <w:unhideWhenUsed/>
    <w:qFormat/>
    <w:rsid w:val="0071799E"/>
    <w:pPr>
      <w:outlineLvl w:val="9"/>
    </w:pPr>
  </w:style>
  <w:style w:type="paragraph" w:customStyle="1" w:styleId="1">
    <w:name w:val="Стиль1"/>
    <w:basedOn w:val="ac"/>
    <w:qFormat/>
    <w:rsid w:val="00897540"/>
    <w:pPr>
      <w:numPr>
        <w:numId w:val="1"/>
      </w:numPr>
      <w:adjustRightInd w:val="0"/>
      <w:snapToGrid w:val="0"/>
      <w:spacing w:line="360" w:lineRule="auto"/>
      <w:ind w:left="0" w:firstLine="709"/>
      <w:contextualSpacing w:val="0"/>
      <w:jc w:val="both"/>
    </w:pPr>
    <w:rPr>
      <w:sz w:val="28"/>
      <w:szCs w:val="28"/>
    </w:rPr>
  </w:style>
  <w:style w:type="paragraph" w:customStyle="1" w:styleId="af5">
    <w:name w:val="Диплом"/>
    <w:basedOn w:val="a"/>
    <w:qFormat/>
    <w:rsid w:val="00B5035F"/>
    <w:pPr>
      <w:adjustRightInd w:val="0"/>
      <w:snapToGrid w:val="0"/>
      <w:spacing w:line="360" w:lineRule="auto"/>
      <w:ind w:firstLine="709"/>
      <w:jc w:val="both"/>
    </w:pPr>
    <w:rPr>
      <w:sz w:val="28"/>
    </w:rPr>
  </w:style>
  <w:style w:type="paragraph" w:customStyle="1" w:styleId="af6">
    <w:name w:val="ДИПЛОМ"/>
    <w:basedOn w:val="a"/>
    <w:qFormat/>
    <w:rsid w:val="00B5035F"/>
    <w:pPr>
      <w:adjustRightInd w:val="0"/>
      <w:snapToGrid w:val="0"/>
      <w:spacing w:line="360" w:lineRule="auto"/>
      <w:ind w:firstLine="709"/>
      <w:jc w:val="both"/>
    </w:pPr>
    <w:rPr>
      <w:sz w:val="28"/>
    </w:rPr>
  </w:style>
  <w:style w:type="character" w:styleId="af7">
    <w:name w:val="Hyperlink"/>
    <w:uiPriority w:val="99"/>
    <w:rsid w:val="00E57970"/>
    <w:rPr>
      <w:rFonts w:cs="Times New Roman"/>
      <w:color w:val="0000FF"/>
      <w:u w:val="single"/>
    </w:rPr>
  </w:style>
  <w:style w:type="character" w:customStyle="1" w:styleId="12">
    <w:name w:val="Основной текст Знак1"/>
    <w:uiPriority w:val="99"/>
    <w:locked/>
    <w:rsid w:val="00E57970"/>
    <w:rPr>
      <w:rFonts w:ascii="Times New Roman" w:hAnsi="Times New Roman" w:cs="Times New Roman"/>
      <w:sz w:val="17"/>
      <w:szCs w:val="17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EN/TXT/?uri=celex%3A12012M%2FTXT" TargetMode="External"/><Relationship Id="rId13" Type="http://schemas.openxmlformats.org/officeDocument/2006/relationships/hyperlink" Target="http://www.coe.int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uroparl.europa.eu/factsheets/en/sheet/158/foreign-policy-aims-instruments-and-achievements" TargetMode="External"/><Relationship Id="rId12" Type="http://schemas.openxmlformats.org/officeDocument/2006/relationships/hyperlink" Target="http://eeas.europa.eu/delegations/ukraine/index_uk.ht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nbuviap.gov.ua/index.php?option=com_content&amp;view=article&amp;id=2751:ukrajina-nato-stan-ta-perspektivi-vzaemovidnosin&amp;catid=8&amp;Itemid=350" TargetMode="External"/><Relationship Id="rId11" Type="http://schemas.openxmlformats.org/officeDocument/2006/relationships/hyperlink" Target="http://europa.eu/index_en.htm" TargetMode="External"/><Relationship Id="rId5" Type="http://schemas.openxmlformats.org/officeDocument/2006/relationships/hyperlink" Target="http://zakon2.rada.gov.ua/laws/show/984_011/paran2820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nato.int/cps/uk/natolive/topics_64610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ato.int/docu/review/2019/Also-in-2019/strengthening-eu-nato-relations/UK/index.htm" TargetMode="External"/><Relationship Id="rId14" Type="http://schemas.openxmlformats.org/officeDocument/2006/relationships/hyperlink" Target="http://www.jso-era.org/ua" TargetMode="Externa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770</Words>
  <Characters>4394</Characters>
  <Application>Microsoft Office Word</Application>
  <DocSecurity>0</DocSecurity>
  <Lines>36</Lines>
  <Paragraphs>10</Paragraphs>
  <ScaleCrop>false</ScaleCrop>
  <Company/>
  <LinksUpToDate>false</LinksUpToDate>
  <CharactersWithSpaces>5154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2024-11-14T09:41:00Z</dcterms:created>
  <dcterms:modified xsi:type="dcterms:W3CDTF">2024-11-14T09:42:00Z</dcterms:modified>
</cp:coreProperties>
</file>