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A0" w:rsidRPr="000F6A67" w:rsidRDefault="00D002A0" w:rsidP="00D002A0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002A0">
        <w:rPr>
          <w:rFonts w:ascii="Times New Roman" w:hAnsi="Times New Roman" w:cs="Times New Roman"/>
          <w:b/>
          <w:sz w:val="28"/>
          <w:lang w:val="ru-RU"/>
        </w:rPr>
        <w:t>ПРАКТИЧНЕ ЗАНЯТТЯ №</w:t>
      </w:r>
      <w:r w:rsidR="000F6A67">
        <w:rPr>
          <w:rFonts w:ascii="Times New Roman" w:hAnsi="Times New Roman" w:cs="Times New Roman"/>
          <w:b/>
          <w:sz w:val="28"/>
          <w:lang w:val="uk-UA"/>
        </w:rPr>
        <w:t>7</w:t>
      </w:r>
    </w:p>
    <w:p w:rsidR="00D002A0" w:rsidRDefault="000F6A67" w:rsidP="00D002A0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ГРАМАТИЧНІ</w:t>
      </w:r>
      <w:r w:rsidR="008C5113">
        <w:rPr>
          <w:rFonts w:ascii="Times New Roman" w:hAnsi="Times New Roman" w:cs="Times New Roman"/>
          <w:b/>
          <w:sz w:val="28"/>
          <w:lang w:val="ru-RU"/>
        </w:rPr>
        <w:t xml:space="preserve"> ТРАНСФОРМАЦІЇ</w:t>
      </w:r>
    </w:p>
    <w:p w:rsidR="00D002A0" w:rsidRPr="00D002A0" w:rsidRDefault="00D002A0" w:rsidP="00D002A0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lang w:val="ru-RU"/>
        </w:rPr>
        <w:t>Основні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>:</w:t>
      </w:r>
    </w:p>
    <w:p w:rsidR="00D002A0" w:rsidRPr="00D002A0" w:rsidRDefault="00D002A0" w:rsidP="00D002A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</w:t>
      </w:r>
      <w:r w:rsidRPr="00D002A0">
        <w:rPr>
          <w:rFonts w:ascii="Times New Roman" w:hAnsi="Times New Roman" w:cs="Times New Roman"/>
          <w:sz w:val="28"/>
          <w:lang w:val="ru-RU"/>
        </w:rPr>
        <w:t xml:space="preserve">. </w:t>
      </w:r>
      <w:r w:rsidR="000F6A67">
        <w:rPr>
          <w:rFonts w:ascii="Times New Roman" w:hAnsi="Times New Roman" w:cs="Times New Roman"/>
          <w:sz w:val="28"/>
          <w:lang w:val="ru-RU"/>
        </w:rPr>
        <w:t xml:space="preserve">Перестановка. </w:t>
      </w:r>
      <w:r w:rsidR="008C5113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D002A0" w:rsidRPr="00D002A0" w:rsidRDefault="00D002A0" w:rsidP="00D002A0">
      <w:pPr>
        <w:rPr>
          <w:rFonts w:ascii="Times New Roman" w:hAnsi="Times New Roman" w:cs="Times New Roman"/>
          <w:sz w:val="28"/>
          <w:lang w:val="ru-RU"/>
        </w:rPr>
      </w:pPr>
      <w:r w:rsidRPr="00D002A0">
        <w:rPr>
          <w:rFonts w:ascii="Times New Roman" w:hAnsi="Times New Roman" w:cs="Times New Roman"/>
          <w:sz w:val="28"/>
          <w:lang w:val="ru-RU"/>
        </w:rPr>
        <w:t xml:space="preserve">2. </w:t>
      </w:r>
      <w:proofErr w:type="spellStart"/>
      <w:r w:rsidR="000F6A67">
        <w:rPr>
          <w:rFonts w:ascii="Times New Roman" w:hAnsi="Times New Roman" w:cs="Times New Roman"/>
          <w:sz w:val="28"/>
          <w:lang w:val="ru-RU"/>
        </w:rPr>
        <w:t>Заміна</w:t>
      </w:r>
      <w:proofErr w:type="spellEnd"/>
      <w:r w:rsidR="000F6A67">
        <w:rPr>
          <w:rFonts w:ascii="Times New Roman" w:hAnsi="Times New Roman" w:cs="Times New Roman"/>
          <w:sz w:val="28"/>
          <w:lang w:val="ru-RU"/>
        </w:rPr>
        <w:t xml:space="preserve">. </w:t>
      </w:r>
      <w:r w:rsidR="008C5113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D002A0" w:rsidRDefault="00D002A0" w:rsidP="00D002A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3. </w:t>
      </w:r>
      <w:proofErr w:type="spellStart"/>
      <w:r w:rsidR="000F6A67">
        <w:rPr>
          <w:rFonts w:ascii="Times New Roman" w:hAnsi="Times New Roman" w:cs="Times New Roman"/>
          <w:sz w:val="28"/>
          <w:lang w:val="ru-RU"/>
        </w:rPr>
        <w:t>Додавання</w:t>
      </w:r>
      <w:proofErr w:type="spellEnd"/>
      <w:r w:rsidR="000F6A67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0F6A67">
        <w:rPr>
          <w:rFonts w:ascii="Times New Roman" w:hAnsi="Times New Roman" w:cs="Times New Roman"/>
          <w:sz w:val="28"/>
          <w:lang w:val="ru-RU"/>
        </w:rPr>
        <w:t>опущення</w:t>
      </w:r>
      <w:proofErr w:type="spellEnd"/>
      <w:r w:rsidR="000F6A67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D002A0" w:rsidRPr="00D002A0" w:rsidRDefault="00D002A0" w:rsidP="00D002A0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D002A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ЛІТЕРАТУРА</w:t>
      </w:r>
    </w:p>
    <w:p w:rsidR="00D002A0" w:rsidRPr="00D002A0" w:rsidRDefault="00D002A0" w:rsidP="00D002A0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Актуальні проблеми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перекладознавства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навчання перекладу в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мовному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вузі: Тези доповідей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Міжнарод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. наук.-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практ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. Конференції 27-28 вересня 2006 р. / Відп. ред. С.М. Назаров. – К. : ВЦ КНЛУ, 2006. – 212 с.</w:t>
      </w: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2. Актуальні проблеми навчання іноземних мов та перекладу : матеріали Міжнародної наук.-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практич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конф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.: тези доповідей /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відпов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ред. С.І.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Терехова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. – К. : КНЛУ, 2013. – 130 с.</w:t>
      </w: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Бельська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 Особливості перекладу “фальшивих друзів перекладача” в науково-технічних текстах // Україна і світ: діалог мов та культур: Матеріали міжнародної студентської науково-практичної конференції.</w:t>
      </w: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Зорівчак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Р.П. Реалія і переклад : на матеріалі англомовних перекладів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укр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прози / Р.П.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Зорівчак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Львів : Львів.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держ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. ун-т, 1989. – 216 с.</w:t>
      </w: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5. Івашкевич Л.О. Реалія у перекладі: проблеми відтворення // Україна і світ: діалог мов та культур: Матеріали міжнародної студентської науково-практичної конференції, 03–05 квітня 2013 року. – К.: Вид. центр КНЛУ, 2013. – С.104–106.</w:t>
      </w: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Кияк Т., Науменко А.,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Огуй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Перекладознавство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(німецько-український напрям) /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Т.Кияк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А.Науменко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О.Огуй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Чернівці: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Букрек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, 2014. – 640 с.</w:t>
      </w: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Стахмич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Ю.С. Рівні розуміння систем машинного перекладу // Україна і світ: діалог мов та культур: Матеріали міжнародної науково-практичної конференції, 03–05 квітня 2013 року. – К.: Вид. центр КНЛУ, 2013. – С.363–365.</w:t>
      </w: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 Стріха М. Український художній переклад: між літературою і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націєтворенням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. Науково-популярне видання. – Київ : Наш час, 2006. – 345 с.</w:t>
      </w: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9. Теорія і практика перекладу : наук.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зб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Вип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20 / відп. ред. О.І. Чередниченко. – К. : Вища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шк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., 1994. – 163 с.</w:t>
      </w: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10.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Терехова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С.І. Основи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перекладознавства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Навч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посібн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для студентів ВНЗ зі спеціальності “Переклад”. – Вид. 2-ге,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випр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і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доповн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. – К.: Вид. центр КНЛУ, 2014. – 248 с.</w:t>
      </w: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Шмігер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 Історія українського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перекладознавства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XX сторіччя / Тарас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Шмігер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. – К. : Смолоскип, 2009. – 342 с. – (Серія “Пролегомени”).</w:t>
      </w: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Яблочнікова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В.О. Особливості перекладу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безеквівалентної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лексики // Наукові записки. Серія “Філологічна”. – Острог: Видавництво Національного університету “Острозька академія”. –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Вип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. 59. – 2015. – С.249–251. – Режим доступу : http://lingvj.oa.edu.ua/assets/files/full/2015/NZ_Vyp_59%20(1).pdf.</w:t>
      </w:r>
    </w:p>
    <w:p w:rsidR="00D002A0" w:rsidRPr="00D002A0" w:rsidRDefault="00D002A0" w:rsidP="00D002A0">
      <w:pPr>
        <w:jc w:val="center"/>
        <w:rPr>
          <w:rFonts w:ascii="Times New Roman" w:hAnsi="Times New Roman" w:cs="Times New Roman"/>
          <w:sz w:val="28"/>
          <w:lang w:val="uk-UA"/>
        </w:rPr>
      </w:pPr>
    </w:p>
    <w:sectPr w:rsidR="00D002A0" w:rsidRPr="00D002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A0"/>
    <w:rsid w:val="000F6A67"/>
    <w:rsid w:val="00471B4F"/>
    <w:rsid w:val="008C5113"/>
    <w:rsid w:val="00D0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A09C"/>
  <w15:chartTrackingRefBased/>
  <w15:docId w15:val="{B5FE678F-BEAB-4F19-9C21-837B250D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3</cp:revision>
  <dcterms:created xsi:type="dcterms:W3CDTF">2024-02-05T14:59:00Z</dcterms:created>
  <dcterms:modified xsi:type="dcterms:W3CDTF">2024-11-16T08:41:00Z</dcterms:modified>
</cp:coreProperties>
</file>