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D9F56" w14:textId="77777777" w:rsidR="008435FD" w:rsidRDefault="008435FD" w:rsidP="008435FD">
      <w:pPr>
        <w:spacing w:line="360" w:lineRule="auto"/>
        <w:rPr>
          <w:sz w:val="28"/>
          <w:szCs w:val="28"/>
          <w:lang w:val="uk-UA"/>
        </w:rPr>
      </w:pPr>
    </w:p>
    <w:p w14:paraId="11767299" w14:textId="77777777" w:rsidR="008435FD" w:rsidRDefault="008435FD" w:rsidP="008435F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Література:</w:t>
      </w:r>
    </w:p>
    <w:p w14:paraId="08170E95" w14:textId="77777777" w:rsidR="008435FD" w:rsidRDefault="008435FD" w:rsidP="008435FD">
      <w:pPr>
        <w:shd w:val="clear" w:color="auto" w:fill="FFFFFF"/>
        <w:spacing w:line="360" w:lineRule="auto"/>
        <w:ind w:firstLine="992"/>
        <w:rPr>
          <w:b/>
          <w:bCs/>
          <w:color w:val="333333"/>
          <w:sz w:val="20"/>
          <w:szCs w:val="20"/>
        </w:rPr>
      </w:pPr>
    </w:p>
    <w:p w14:paraId="77972A0A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 xml:space="preserve">Андріяш В. І. Державна політика: концептуальні аспекти визначення [Електронний </w:t>
      </w:r>
    </w:p>
    <w:p w14:paraId="7D34BF82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 xml:space="preserve">ресурс] / В. І. Андріяш // Державне  управління: удосконалення та розвиток. 2013. – № 9. – Режим доступу : http://www.dy.nayka.com.ua/?op=1&amp;z=626. </w:t>
      </w:r>
    </w:p>
    <w:p w14:paraId="6BA3E46C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 xml:space="preserve">Браєн Г. Визначення державної політики // Аналіз політики для реального світу / Браєн Гоґвуд, Луїс Ґан ; [пер. з англ. А. Олійник]. – К. : Вид-во Соломії Павличко «Основи», 2004. – С. 34–41. </w:t>
      </w:r>
    </w:p>
    <w:p w14:paraId="097EE95E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>Бакуменко В. Д., Надолішній П. І. Теоретичні та організаційні засади державного управління : навч. пос. / В. Д. Бакуменко, П. І. Надолішній. – К. : Міленіум, 2003. – 256 с.</w:t>
      </w:r>
    </w:p>
    <w:p w14:paraId="64CB5E70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>Валевський О. Л. Державна політика в Україні: методологія аналізу, стратегія, механізми впровадження : [монографія] / О. Л. Валевський. – К. : НІСД, 2001. – 242 с.</w:t>
      </w:r>
    </w:p>
    <w:p w14:paraId="68F2DDBB" w14:textId="7276E70D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>Гладуняк Іван.</w:t>
      </w:r>
      <w:r>
        <w:rPr>
          <w:rStyle w:val="apple-converted-space"/>
          <w:color w:val="333333"/>
          <w:sz w:val="28"/>
          <w:szCs w:val="28"/>
          <w:lang w:val="uz-Latn-UZ"/>
        </w:rPr>
        <w:t> </w:t>
      </w:r>
      <w:r>
        <w:rPr>
          <w:color w:val="333333"/>
          <w:sz w:val="28"/>
          <w:szCs w:val="28"/>
          <w:lang w:val="uz-Latn-UZ"/>
        </w:rPr>
        <w:t>Конституція як основа формування та реалізації державної політики / І. Гладуняк // Віче. – 2007. – № 21/22. –</w:t>
      </w:r>
      <w:r>
        <w:rPr>
          <w:rStyle w:val="apple-converted-space"/>
          <w:color w:val="333333"/>
          <w:sz w:val="28"/>
          <w:szCs w:val="28"/>
          <w:lang w:val="uz-Latn-UZ"/>
        </w:rPr>
        <w:t> </w:t>
      </w:r>
      <w:r>
        <w:rPr>
          <w:rStyle w:val="apple-converted-space"/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z-Latn-UZ"/>
        </w:rPr>
        <w:t>Режим</w:t>
      </w:r>
      <w:r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z-Latn-UZ"/>
        </w:rPr>
        <w:t>доступу:</w:t>
      </w:r>
      <w:r w:rsidRPr="004D27AD">
        <w:rPr>
          <w:sz w:val="28"/>
          <w:szCs w:val="28"/>
          <w:lang w:val="uz-Latn-UZ"/>
        </w:rPr>
        <w:t>http://www.viche.info/journal/733/</w:t>
      </w:r>
    </w:p>
    <w:p w14:paraId="4831301E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>Державна політика: аналіз та механізми її впровадження в Україні : навч. посіб. / кол. авт. ; за заг. ред. В.Ребкала, В.Тертички. – К. : Вид-во НАДУ, 2000. – 232 с.</w:t>
      </w:r>
    </w:p>
    <w:p w14:paraId="220FB8EE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>Економічний розвиток і державна політика : [навч. посіб.] / [Ю. Бажал, О. Кілієвич, О. Мертенс та ін.] ; за заг. ред Ю. Єханурова, І. Розпутенка. − К. : Вид-во УАДУ, 2001. − 480 с.</w:t>
      </w:r>
    </w:p>
    <w:p w14:paraId="5036479E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>Енциклопедичний словник з державного управління / [укл. : Ю. П. Сурмін, В. Д. Бакуменко, А. М. Михненко та ін.] ; за ред. Ю. В. Ковбасюка, В. П. Трощинського, Ю. П. Сурміна. – К. : НАДУ, 2010. – 820 с.</w:t>
      </w:r>
    </w:p>
    <w:p w14:paraId="4D666B57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lastRenderedPageBreak/>
        <w:t>Концептуальні засади взаємодії політики й управління : навч. посіб. /</w:t>
      </w:r>
      <w:r>
        <w:rPr>
          <w:rStyle w:val="apple-converted-space"/>
          <w:color w:val="333333"/>
          <w:sz w:val="28"/>
          <w:szCs w:val="28"/>
          <w:lang w:val="uz-Latn-UZ"/>
        </w:rPr>
        <w:t> </w:t>
      </w:r>
      <w:r>
        <w:rPr>
          <w:color w:val="333333"/>
          <w:sz w:val="28"/>
          <w:szCs w:val="28"/>
          <w:lang w:val="uz-Latn-UZ"/>
        </w:rPr>
        <w:t>авт. кол. : Е. А. Афонін, Я. В.</w:t>
      </w:r>
      <w:r>
        <w:rPr>
          <w:rStyle w:val="apple-converted-space"/>
          <w:color w:val="333333"/>
          <w:sz w:val="28"/>
          <w:szCs w:val="28"/>
          <w:lang w:val="uz-Latn-UZ"/>
        </w:rPr>
        <w:t> </w:t>
      </w:r>
      <w:r>
        <w:rPr>
          <w:color w:val="333333"/>
          <w:sz w:val="28"/>
          <w:szCs w:val="28"/>
          <w:lang w:val="uz-Latn-UZ"/>
        </w:rPr>
        <w:t>Бережний, О. Л. Валевський та ін. ; за заг.</w:t>
      </w:r>
      <w:r>
        <w:rPr>
          <w:rStyle w:val="apple-converted-space"/>
          <w:color w:val="333333"/>
          <w:sz w:val="28"/>
          <w:szCs w:val="28"/>
          <w:lang w:val="uz-Latn-UZ"/>
        </w:rPr>
        <w:t> </w:t>
      </w:r>
      <w:r>
        <w:rPr>
          <w:color w:val="333333"/>
          <w:sz w:val="28"/>
          <w:szCs w:val="28"/>
          <w:lang w:val="uz-Latn-UZ"/>
        </w:rPr>
        <w:t>ред. В. А. Ребкала, В. А. Шахова, В. В. Голубь, В. М. Козакова.</w:t>
      </w:r>
      <w:r>
        <w:rPr>
          <w:rStyle w:val="apple-converted-space"/>
          <w:color w:val="333333"/>
          <w:sz w:val="28"/>
          <w:szCs w:val="28"/>
          <w:lang w:val="uz-Latn-UZ"/>
        </w:rPr>
        <w:t> </w:t>
      </w:r>
      <w:r>
        <w:rPr>
          <w:color w:val="333333"/>
          <w:sz w:val="28"/>
          <w:szCs w:val="28"/>
          <w:lang w:val="uz-Latn-UZ"/>
        </w:rPr>
        <w:t>–</w:t>
      </w:r>
      <w:r>
        <w:rPr>
          <w:rStyle w:val="apple-converted-space"/>
          <w:color w:val="333333"/>
          <w:sz w:val="28"/>
          <w:szCs w:val="28"/>
          <w:lang w:val="uz-Latn-UZ"/>
        </w:rPr>
        <w:t> </w:t>
      </w:r>
      <w:r>
        <w:rPr>
          <w:color w:val="333333"/>
          <w:sz w:val="28"/>
          <w:szCs w:val="28"/>
          <w:lang w:val="uz-Latn-UZ"/>
        </w:rPr>
        <w:t>К. : НАДУ, 2010.</w:t>
      </w:r>
      <w:r>
        <w:rPr>
          <w:rStyle w:val="apple-converted-space"/>
          <w:color w:val="333333"/>
          <w:sz w:val="28"/>
          <w:szCs w:val="28"/>
          <w:lang w:val="uz-Latn-UZ"/>
        </w:rPr>
        <w:t> </w:t>
      </w:r>
      <w:r>
        <w:rPr>
          <w:color w:val="333333"/>
          <w:sz w:val="28"/>
          <w:szCs w:val="28"/>
          <w:lang w:val="uz-Latn-UZ"/>
        </w:rPr>
        <w:t>–</w:t>
      </w:r>
      <w:r>
        <w:rPr>
          <w:rStyle w:val="apple-converted-space"/>
          <w:color w:val="333333"/>
          <w:sz w:val="28"/>
          <w:szCs w:val="28"/>
          <w:lang w:val="uz-Latn-UZ"/>
        </w:rPr>
        <w:t> </w:t>
      </w:r>
      <w:r>
        <w:rPr>
          <w:color w:val="333333"/>
          <w:sz w:val="28"/>
          <w:szCs w:val="28"/>
          <w:lang w:val="uz-Latn-UZ"/>
        </w:rPr>
        <w:t>300 с.</w:t>
      </w:r>
      <w:r>
        <w:rPr>
          <w:rStyle w:val="apple-converted-space"/>
          <w:color w:val="333333"/>
          <w:sz w:val="28"/>
          <w:szCs w:val="28"/>
          <w:lang w:val="uz-Latn-UZ"/>
        </w:rPr>
        <w:t> </w:t>
      </w:r>
      <w:r>
        <w:rPr>
          <w:color w:val="333333"/>
          <w:sz w:val="28"/>
          <w:szCs w:val="28"/>
          <w:lang w:val="uz-Latn-UZ"/>
        </w:rPr>
        <w:t>– С. 10</w:t>
      </w:r>
    </w:p>
    <w:p w14:paraId="6D30B481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>Кучеренко О. Державна політика: аналіз сучасних політологічних концепцій / О. Кучеренко// Актуальні проблеми реформування державного управління в Україні : Мат. наук.-практ. конф. – К. : Вид-во УАДУ, 1997. – С. 279-281.</w:t>
      </w:r>
    </w:p>
    <w:p w14:paraId="0089B925" w14:textId="272EAD55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>Музиченко Г.В. Державна політика України: основи визначення та аналізу в межах політичної науки / Г.В. Музиченько. – Режим доступу:</w:t>
      </w:r>
      <w:r w:rsidRPr="004D27AD">
        <w:rPr>
          <w:sz w:val="28"/>
          <w:szCs w:val="28"/>
          <w:lang w:val="uz-Latn-UZ"/>
        </w:rPr>
        <w:t>http://gisap.eu/ru/node/504</w:t>
      </w:r>
    </w:p>
    <w:p w14:paraId="3E9072B8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>Пал Л. А. Аналіз державної політики / Л. А. Пал; пер. з англ. І. Дзюби. – К.: Основи, 1999. – 422 с.</w:t>
      </w:r>
    </w:p>
    <w:p w14:paraId="468DD21D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>Пірен М. І. Публічна політична діяльність : навч. посіб. / М.І. Пірен. – К.: НАДУ, 2009. – 288 с.</w:t>
      </w:r>
    </w:p>
    <w:p w14:paraId="49C27C99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>Романов В. Є. Державна політика: аналіз та механізми її впровадження / В. Є. Романов, О. М. Рудік, Т. М. Брус. – Дніпропетр. : ДРІДУ НАДУ, 2003. – 72 с.</w:t>
      </w:r>
    </w:p>
    <w:p w14:paraId="4532E029" w14:textId="077F0C6A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rStyle w:val="annotation"/>
          <w:color w:val="333333"/>
          <w:sz w:val="28"/>
          <w:szCs w:val="28"/>
          <w:lang w:val="uz-Latn-UZ"/>
        </w:rPr>
        <w:t>Рябічко О. В. Державна політика регулювання підприємницької діяльності: механізми формування / О. В. Рябічко // Актуальні проблеми державного управління. – 2011. – № 1 (39). – С. 72-76.</w:t>
      </w:r>
      <w:r>
        <w:rPr>
          <w:rStyle w:val="apple-converted-space"/>
          <w:color w:val="333333"/>
          <w:sz w:val="28"/>
          <w:szCs w:val="28"/>
          <w:lang w:val="uz-Latn-UZ"/>
        </w:rPr>
        <w:t> </w:t>
      </w:r>
      <w:r>
        <w:rPr>
          <w:color w:val="333333"/>
          <w:sz w:val="28"/>
          <w:szCs w:val="28"/>
          <w:lang w:val="uz-Latn-UZ"/>
        </w:rPr>
        <w:t>Режим доступу:</w:t>
      </w:r>
      <w:r>
        <w:rPr>
          <w:rStyle w:val="apple-converted-space"/>
          <w:color w:val="333333"/>
          <w:sz w:val="28"/>
          <w:szCs w:val="28"/>
          <w:lang w:val="uz-Latn-UZ"/>
        </w:rPr>
        <w:t> </w:t>
      </w:r>
      <w:r w:rsidRPr="004D27AD">
        <w:rPr>
          <w:sz w:val="28"/>
          <w:szCs w:val="28"/>
          <w:lang w:val="uz-Latn-UZ"/>
        </w:rPr>
        <w:t>http://www.stattionline.org.ua</w:t>
      </w:r>
    </w:p>
    <w:p w14:paraId="4BCE51EC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>Тертичка В.В.</w:t>
      </w:r>
      <w:r>
        <w:rPr>
          <w:rStyle w:val="apple-converted-space"/>
          <w:i/>
          <w:iCs/>
          <w:color w:val="333333"/>
          <w:sz w:val="28"/>
          <w:szCs w:val="28"/>
          <w:lang w:val="uz-Latn-UZ"/>
        </w:rPr>
        <w:t> </w:t>
      </w:r>
      <w:r>
        <w:rPr>
          <w:color w:val="333333"/>
          <w:sz w:val="28"/>
          <w:szCs w:val="28"/>
          <w:lang w:val="uz-Latn-UZ"/>
        </w:rPr>
        <w:t>Державна політика: аналіз та здійснення в Україні / В. В. Тертичка. – К. : Вид-во Соломії Павличко"Основи", 2002. – 750 с.</w:t>
      </w:r>
    </w:p>
    <w:p w14:paraId="45299A15" w14:textId="77777777" w:rsidR="008435FD" w:rsidRDefault="008435FD" w:rsidP="008435FD">
      <w:pPr>
        <w:numPr>
          <w:ilvl w:val="0"/>
          <w:numId w:val="1"/>
        </w:numPr>
        <w:shd w:val="clear" w:color="auto" w:fill="FFFFFF"/>
        <w:tabs>
          <w:tab w:val="num" w:pos="540"/>
        </w:tabs>
        <w:spacing w:line="360" w:lineRule="auto"/>
        <w:ind w:left="540" w:hanging="540"/>
        <w:rPr>
          <w:color w:val="333333"/>
          <w:sz w:val="28"/>
          <w:szCs w:val="28"/>
          <w:lang w:val="uz-Latn-UZ"/>
        </w:rPr>
      </w:pPr>
      <w:r>
        <w:rPr>
          <w:color w:val="333333"/>
          <w:sz w:val="28"/>
          <w:szCs w:val="28"/>
          <w:lang w:val="uz-Latn-UZ"/>
        </w:rPr>
        <w:t>Державна політика : підручник / Нац. акад. держ. упр. при Президентові України; ред.кол.:Ю. В.Ковбасюк (голова),К. О. Ващенко (заст. голови),</w:t>
      </w:r>
      <w:r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z-Latn-UZ"/>
        </w:rPr>
        <w:t>Ю. П. Сурмін (заст. голови) [та ін.]. – К.:НАДУ, 2014. – 448 с.</w:t>
      </w:r>
    </w:p>
    <w:p w14:paraId="6808FF2D" w14:textId="77777777" w:rsidR="008435FD" w:rsidRDefault="008435FD" w:rsidP="008435FD">
      <w:pPr>
        <w:spacing w:line="360" w:lineRule="auto"/>
      </w:pPr>
    </w:p>
    <w:p w14:paraId="3C326299" w14:textId="77777777" w:rsidR="000820FF" w:rsidRDefault="000820FF"/>
    <w:sectPr w:rsidR="00082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93BCB"/>
    <w:multiLevelType w:val="hybridMultilevel"/>
    <w:tmpl w:val="3D6A7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00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DF5"/>
    <w:rsid w:val="000820FF"/>
    <w:rsid w:val="002C3DF5"/>
    <w:rsid w:val="004D27AD"/>
    <w:rsid w:val="008435FD"/>
    <w:rsid w:val="00D0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AE45"/>
  <w15:docId w15:val="{3AC48928-1586-4122-905E-B60A68B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435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35FD"/>
  </w:style>
  <w:style w:type="character" w:customStyle="1" w:styleId="annotation">
    <w:name w:val="annotation"/>
    <w:basedOn w:val="a0"/>
    <w:rsid w:val="00843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1941</Words>
  <Characters>1107</Characters>
  <Application>Microsoft Office Word</Application>
  <DocSecurity>0</DocSecurity>
  <Lines>9</Lines>
  <Paragraphs>6</Paragraphs>
  <ScaleCrop>false</ScaleCrop>
  <Company>SPecialiST RePack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</cp:lastModifiedBy>
  <cp:revision>5</cp:revision>
  <dcterms:created xsi:type="dcterms:W3CDTF">2016-11-18T10:07:00Z</dcterms:created>
  <dcterms:modified xsi:type="dcterms:W3CDTF">2024-12-03T15:33:00Z</dcterms:modified>
</cp:coreProperties>
</file>