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F0" w:rsidRPr="00B978F0" w:rsidRDefault="00B978F0" w:rsidP="00B978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етносвідомості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в українській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інтернаціональне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слов’янській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фразеології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78F0">
        <w:rPr>
          <w:rFonts w:ascii="Times New Roman" w:hAnsi="Times New Roman" w:cs="Times New Roman"/>
          <w:sz w:val="28"/>
          <w:szCs w:val="28"/>
        </w:rPr>
        <w:t xml:space="preserve">Слов’янська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парем</w:t>
      </w:r>
      <w:proofErr w:type="gramEnd"/>
      <w:r w:rsidRPr="00B978F0">
        <w:rPr>
          <w:rFonts w:ascii="Times New Roman" w:hAnsi="Times New Roman" w:cs="Times New Roman"/>
          <w:sz w:val="28"/>
          <w:szCs w:val="28"/>
        </w:rPr>
        <w:t>іологія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в етнолінгвістичному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B978F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978F0">
        <w:rPr>
          <w:rFonts w:ascii="Times New Roman" w:hAnsi="Times New Roman" w:cs="Times New Roman"/>
          <w:sz w:val="28"/>
          <w:szCs w:val="28"/>
        </w:rPr>
        <w:t>іблійна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фразеологія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феномен.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особливості теонімів </w:t>
      </w:r>
      <w:proofErr w:type="gramStart"/>
      <w:r w:rsidRPr="00B978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78F0">
        <w:rPr>
          <w:rFonts w:ascii="Times New Roman" w:hAnsi="Times New Roman" w:cs="Times New Roman"/>
          <w:sz w:val="28"/>
          <w:szCs w:val="28"/>
        </w:rPr>
        <w:t xml:space="preserve"> українських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пареміях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антропонімів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8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78F0">
        <w:rPr>
          <w:rFonts w:ascii="Times New Roman" w:hAnsi="Times New Roman" w:cs="Times New Roman"/>
          <w:sz w:val="28"/>
          <w:szCs w:val="28"/>
        </w:rPr>
        <w:t xml:space="preserve"> українській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фразеології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Етноніми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фольклору.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8. Ономастика у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фольклорних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8F0">
        <w:rPr>
          <w:rFonts w:ascii="Times New Roman" w:hAnsi="Times New Roman" w:cs="Times New Roman"/>
          <w:sz w:val="28"/>
          <w:szCs w:val="28"/>
        </w:rPr>
        <w:t>текстах</w:t>
      </w:r>
      <w:proofErr w:type="gram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9. Українська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діалектна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фразеологія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10.Паремія як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мовно-естетичний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11. Афоризм як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мовно-естетичний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знак української етнокультури. 12.Етнокультурні особливості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паремійного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корпусу мови.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Паремія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семіотичний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феномен мови.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978F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Лінгвалізація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концепту «доля» в українських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пареміях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15. Концепт «робота» в українських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пареміях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Вербалізація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концепту «дорога</w:t>
      </w:r>
      <w:proofErr w:type="gramStart"/>
      <w:r w:rsidRPr="00B978F0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мовному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Антропологічний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код в українських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пареміях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Просторовий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код в українських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фразеологізмах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19. Час як код в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мовному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20. Концепт «кохання» у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українській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афористиці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8F0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Флоризми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української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>.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української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ментальності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фразеології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особливості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афоризмі</w:t>
      </w:r>
      <w:proofErr w:type="gramStart"/>
      <w:r w:rsidRPr="00B978F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978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Мовно-естетичні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афористиці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160" w:rsidRPr="00B978F0" w:rsidRDefault="00B978F0" w:rsidP="00B978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B97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Мовно-естетичні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знаки української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78F0">
        <w:rPr>
          <w:rFonts w:ascii="Times New Roman" w:hAnsi="Times New Roman" w:cs="Times New Roman"/>
          <w:sz w:val="28"/>
          <w:szCs w:val="28"/>
        </w:rPr>
        <w:t>афористиці</w:t>
      </w:r>
      <w:proofErr w:type="spellEnd"/>
      <w:r w:rsidRPr="00B978F0">
        <w:rPr>
          <w:rFonts w:ascii="Times New Roman" w:hAnsi="Times New Roman" w:cs="Times New Roman"/>
          <w:sz w:val="28"/>
          <w:szCs w:val="28"/>
        </w:rPr>
        <w:t xml:space="preserve"> І. Франка. </w:t>
      </w:r>
    </w:p>
    <w:sectPr w:rsidR="00861160" w:rsidRPr="00B9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8F0"/>
    <w:rsid w:val="00861160"/>
    <w:rsid w:val="00B9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2016-06-22T10:18:00Z</dcterms:created>
  <dcterms:modified xsi:type="dcterms:W3CDTF">2016-06-22T10:24:00Z</dcterms:modified>
</cp:coreProperties>
</file>