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B51" w:rsidRPr="00A31F4F" w:rsidRDefault="00542B51" w:rsidP="00542B51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 xml:space="preserve">5. Види і зміст контрольних заходів </w:t>
      </w:r>
    </w:p>
    <w:p w:rsidR="00542B51" w:rsidRPr="00A31F4F" w:rsidRDefault="00542B51" w:rsidP="00542B51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2835"/>
        <w:gridCol w:w="1842"/>
        <w:gridCol w:w="1843"/>
      </w:tblGrid>
      <w:tr w:rsidR="00542B51" w:rsidRPr="00A31F4F" w:rsidTr="007A0A9F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51" w:rsidRPr="00877EE7" w:rsidRDefault="00542B51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877EE7">
              <w:rPr>
                <w:rFonts w:ascii="Times New Roman" w:hAnsi="Times New Roman" w:cs="Times New Roman"/>
                <w:b/>
              </w:rPr>
              <w:t>Вид заняття/</w:t>
            </w:r>
          </w:p>
          <w:p w:rsidR="00542B51" w:rsidRPr="00877EE7" w:rsidRDefault="00542B51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77EE7">
              <w:rPr>
                <w:rFonts w:ascii="Times New Roman" w:hAnsi="Times New Roman" w:cs="Times New Roman"/>
                <w:b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51" w:rsidRPr="00877EE7" w:rsidRDefault="00542B51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77EE7">
              <w:rPr>
                <w:rFonts w:ascii="Times New Roman" w:hAnsi="Times New Roman" w:cs="Times New Roman"/>
                <w:b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51" w:rsidRPr="00877EE7" w:rsidRDefault="00542B51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77EE7">
              <w:rPr>
                <w:rFonts w:ascii="Times New Roman" w:hAnsi="Times New Roman" w:cs="Times New Roman"/>
                <w:b/>
              </w:rPr>
              <w:t>Зміст контрольного заходу*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51" w:rsidRPr="00877EE7" w:rsidRDefault="00542B51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877EE7">
              <w:rPr>
                <w:rFonts w:ascii="Times New Roman" w:hAnsi="Times New Roman" w:cs="Times New Roman"/>
                <w:b/>
              </w:rPr>
              <w:t>Критерії оцінювання</w:t>
            </w:r>
          </w:p>
          <w:p w:rsidR="00542B51" w:rsidRPr="00877EE7" w:rsidRDefault="00542B51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77EE7">
              <w:rPr>
                <w:rFonts w:ascii="Times New Roman" w:hAnsi="Times New Roman" w:cs="Times New Roman"/>
                <w:b/>
              </w:rPr>
              <w:t>та термін виконання*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51" w:rsidRPr="00877EE7" w:rsidRDefault="00542B51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877EE7">
              <w:rPr>
                <w:rFonts w:ascii="Times New Roman" w:hAnsi="Times New Roman" w:cs="Times New Roman"/>
                <w:b/>
              </w:rPr>
              <w:t>Усього балів</w:t>
            </w:r>
          </w:p>
        </w:tc>
      </w:tr>
      <w:tr w:rsidR="00542B51" w:rsidRPr="00A31F4F" w:rsidTr="007A0A9F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51" w:rsidRPr="00877EE7" w:rsidRDefault="00542B51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EE7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51" w:rsidRPr="00877EE7" w:rsidRDefault="00542B51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EE7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51" w:rsidRPr="00877EE7" w:rsidRDefault="00542B51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EE7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51" w:rsidRPr="00877EE7" w:rsidRDefault="00542B51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EE7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51" w:rsidRPr="00877EE7" w:rsidRDefault="00542B51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EE7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542B51" w:rsidRPr="00A31F4F" w:rsidTr="007A0A9F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B51" w:rsidRPr="00877EE7" w:rsidRDefault="00542B51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77EE7">
              <w:rPr>
                <w:rFonts w:ascii="Times New Roman" w:hAnsi="Times New Roman" w:cs="Times New Roman"/>
                <w:b/>
                <w:lang w:eastAsia="en-US"/>
              </w:rPr>
              <w:t>Поточний контроль</w:t>
            </w:r>
          </w:p>
        </w:tc>
      </w:tr>
      <w:tr w:rsidR="00542B51" w:rsidRPr="00A31F4F" w:rsidTr="007A0A9F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51" w:rsidRPr="00877EE7" w:rsidRDefault="00542B51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77EE7">
              <w:rPr>
                <w:rFonts w:ascii="Times New Roman" w:hAnsi="Times New Roman" w:cs="Times New Roman"/>
                <w:lang w:eastAsia="en-US"/>
              </w:rPr>
              <w:t>Практичне заняття №1</w:t>
            </w:r>
            <w:r>
              <w:rPr>
                <w:rFonts w:ascii="Times New Roman" w:hAnsi="Times New Roman" w:cs="Times New Roman"/>
                <w:lang w:eastAsia="en-US"/>
              </w:rPr>
              <w:t>,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51" w:rsidRPr="00877EE7" w:rsidRDefault="00542B51" w:rsidP="007A0A9F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Кейсовий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підхід; </w:t>
            </w:r>
            <w:r w:rsidRPr="00877EE7">
              <w:rPr>
                <w:rFonts w:ascii="Times New Roman" w:hAnsi="Times New Roman" w:cs="Times New Roman"/>
              </w:rPr>
              <w:t>аналітично-пошукові вправи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51" w:rsidRDefault="00542B51" w:rsidP="007A0A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Публічні комунікації: український та глобальний контексти. </w:t>
            </w:r>
          </w:p>
          <w:p w:rsidR="00542B51" w:rsidRPr="00877EE7" w:rsidRDefault="00542B51" w:rsidP="007A0A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Флешмоби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Перформанси</w:t>
            </w:r>
            <w:proofErr w:type="spellEnd"/>
            <w:r>
              <w:rPr>
                <w:rFonts w:ascii="Times New Roman" w:hAnsi="Times New Roman" w:cs="Times New Roman"/>
              </w:rPr>
              <w:t>. Мітинги. Інші громадські ініціативи.</w:t>
            </w:r>
          </w:p>
          <w:p w:rsidR="00542B51" w:rsidRPr="00877EE7" w:rsidRDefault="00542B51" w:rsidP="007A0A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877EE7">
              <w:rPr>
                <w:rFonts w:ascii="Times New Roman" w:hAnsi="Times New Roman" w:cs="Times New Roman"/>
              </w:rPr>
              <w:t xml:space="preserve">Перелік завдань: </w:t>
            </w:r>
          </w:p>
          <w:p w:rsidR="00542B51" w:rsidRPr="00877EE7" w:rsidRDefault="00542B51" w:rsidP="007A0A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877EE7">
              <w:rPr>
                <w:rFonts w:ascii="Times New Roman" w:hAnsi="Times New Roman" w:cs="Times New Roman"/>
              </w:rPr>
              <w:t>1.</w:t>
            </w:r>
            <w:r w:rsidRPr="00877EE7">
              <w:rPr>
                <w:rFonts w:ascii="Times New Roman" w:hAnsi="Times New Roman" w:cs="Times New Roman"/>
              </w:rPr>
              <w:tab/>
              <w:t xml:space="preserve">Охарактеризувати </w:t>
            </w:r>
            <w:r>
              <w:rPr>
                <w:rFonts w:ascii="Times New Roman" w:hAnsi="Times New Roman" w:cs="Times New Roman"/>
              </w:rPr>
              <w:t>кейси публічних комунікацій (</w:t>
            </w:r>
            <w:proofErr w:type="spellStart"/>
            <w:r>
              <w:rPr>
                <w:rFonts w:ascii="Times New Roman" w:hAnsi="Times New Roman" w:cs="Times New Roman"/>
              </w:rPr>
              <w:t>флешмобів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перформансів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мітингів тощо) у світі (не менше 5 зразків) та в Україні (не менше 5 зразків) за методом </w:t>
            </w:r>
            <w:proofErr w:type="spellStart"/>
            <w:r>
              <w:rPr>
                <w:rFonts w:ascii="Times New Roman" w:hAnsi="Times New Roman" w:cs="Times New Roman"/>
              </w:rPr>
              <w:t>проєктної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лінійки: місія, мета, завдання, стратегія, тактика, ефективність, результат.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51" w:rsidRPr="00877EE7" w:rsidRDefault="00542B51" w:rsidP="007A0A9F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877EE7">
              <w:rPr>
                <w:rFonts w:ascii="Times New Roman" w:hAnsi="Times New Roman" w:cs="Times New Roman"/>
                <w:lang w:eastAsia="en-US"/>
              </w:rPr>
              <w:t>аналітико-пошукова вправа</w:t>
            </w:r>
            <w:r>
              <w:rPr>
                <w:rFonts w:ascii="Times New Roman" w:hAnsi="Times New Roman" w:cs="Times New Roman"/>
                <w:lang w:eastAsia="en-US"/>
              </w:rPr>
              <w:t xml:space="preserve"> щодо кейсів національного простору – 5 балів (змістовність, аргументованість, контекст, дотримання методу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проєктної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лінійки)</w:t>
            </w:r>
            <w:r w:rsidRPr="00877EE7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та світового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постору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–5 балів</w:t>
            </w:r>
          </w:p>
          <w:p w:rsidR="00542B51" w:rsidRPr="00877EE7" w:rsidRDefault="00542B51" w:rsidP="007A0A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51" w:rsidRPr="003306D5" w:rsidRDefault="00542B51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542B51" w:rsidRPr="00A31F4F" w:rsidTr="007A0A9F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51" w:rsidRPr="00877EE7" w:rsidRDefault="00542B51" w:rsidP="007A0A9F">
            <w:pPr>
              <w:jc w:val="center"/>
              <w:rPr>
                <w:rFonts w:ascii="Times New Roman" w:hAnsi="Times New Roman" w:cs="Times New Roman"/>
              </w:rPr>
            </w:pPr>
            <w:r w:rsidRPr="00877EE7">
              <w:rPr>
                <w:rFonts w:ascii="Times New Roman" w:hAnsi="Times New Roman" w:cs="Times New Roman"/>
                <w:lang w:eastAsia="en-US"/>
              </w:rPr>
              <w:t>Практичне заняття №</w:t>
            </w:r>
            <w:r>
              <w:rPr>
                <w:rFonts w:ascii="Times New Roman" w:hAnsi="Times New Roman" w:cs="Times New Roman"/>
                <w:lang w:eastAsia="en-US"/>
              </w:rPr>
              <w:t>3, 4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51" w:rsidRPr="00877EE7" w:rsidRDefault="00542B51" w:rsidP="007A0A9F">
            <w:pPr>
              <w:autoSpaceDE w:val="0"/>
              <w:autoSpaceDN w:val="0"/>
              <w:rPr>
                <w:rFonts w:ascii="Times New Roman" w:hAnsi="Times New Roman" w:cs="Times New Roman"/>
                <w:spacing w:val="-1"/>
              </w:rPr>
            </w:pPr>
            <w:r w:rsidRPr="00877EE7">
              <w:rPr>
                <w:rFonts w:ascii="Times New Roman" w:hAnsi="Times New Roman" w:cs="Times New Roman"/>
              </w:rPr>
              <w:t>комплексні</w:t>
            </w:r>
            <w:r w:rsidRPr="00877EE7">
              <w:rPr>
                <w:rFonts w:ascii="Times New Roman" w:hAnsi="Times New Roman" w:cs="Times New Roman"/>
                <w:spacing w:val="-4"/>
              </w:rPr>
              <w:t xml:space="preserve">: </w:t>
            </w:r>
          </w:p>
          <w:p w:rsidR="00542B51" w:rsidRPr="00877EE7" w:rsidRDefault="00542B51" w:rsidP="007A0A9F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877EE7">
              <w:rPr>
                <w:rFonts w:ascii="Times New Roman" w:hAnsi="Times New Roman" w:cs="Times New Roman"/>
                <w:spacing w:val="-1"/>
              </w:rPr>
              <w:t>опрацювання теоретичного матер</w:t>
            </w:r>
            <w:r>
              <w:rPr>
                <w:rFonts w:ascii="Times New Roman" w:hAnsi="Times New Roman" w:cs="Times New Roman"/>
                <w:spacing w:val="-1"/>
              </w:rPr>
              <w:t>іалу; аналітично-пошукова робота</w:t>
            </w:r>
          </w:p>
          <w:p w:rsidR="00542B51" w:rsidRPr="00877EE7" w:rsidRDefault="00542B51" w:rsidP="007A0A9F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51" w:rsidRDefault="00542B51" w:rsidP="007A0A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Права людини в міжнародній </w:t>
            </w:r>
            <w:proofErr w:type="spellStart"/>
            <w:r>
              <w:rPr>
                <w:rFonts w:ascii="Times New Roman" w:hAnsi="Times New Roman" w:cs="Times New Roman"/>
              </w:rPr>
              <w:t>адвокації</w:t>
            </w:r>
            <w:proofErr w:type="spellEnd"/>
            <w:r>
              <w:rPr>
                <w:rFonts w:ascii="Times New Roman" w:hAnsi="Times New Roman" w:cs="Times New Roman"/>
              </w:rPr>
              <w:t>: ООН, ЄС. Протидія мові ворожнечі.</w:t>
            </w:r>
          </w:p>
          <w:p w:rsidR="00542B51" w:rsidRDefault="00542B51" w:rsidP="007A0A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Перелік завдань:</w:t>
            </w:r>
          </w:p>
          <w:p w:rsidR="00542B51" w:rsidRPr="00877EE7" w:rsidRDefault="00542B51" w:rsidP="007A0A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Знайти в інформаційному просторі – міжнародному та українському – приклади мови ворожнечі (не менше 10 із посиланням на матеріали).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51" w:rsidRPr="00877EE7" w:rsidRDefault="00542B51" w:rsidP="007A0A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77EE7">
              <w:rPr>
                <w:rFonts w:ascii="Times New Roman" w:hAnsi="Times New Roman" w:cs="Times New Roman"/>
                <w:lang w:eastAsia="en-US"/>
              </w:rPr>
              <w:t>Опрацювання теоретичного матеріалу</w:t>
            </w:r>
            <w:r>
              <w:rPr>
                <w:rFonts w:ascii="Times New Roman" w:hAnsi="Times New Roman" w:cs="Times New Roman"/>
                <w:lang w:eastAsia="en-US"/>
              </w:rPr>
              <w:t xml:space="preserve"> (змістовність, ілюстрація прикладами) </w:t>
            </w:r>
            <w:r w:rsidRPr="00877EE7">
              <w:rPr>
                <w:rFonts w:ascii="Times New Roman" w:hAnsi="Times New Roman" w:cs="Times New Roman"/>
                <w:lang w:eastAsia="en-US"/>
              </w:rPr>
              <w:t>– 3;</w:t>
            </w:r>
          </w:p>
          <w:p w:rsidR="00542B51" w:rsidRPr="00877EE7" w:rsidRDefault="00542B51" w:rsidP="007A0A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Виявлена мова ворожнечі (аргументованість, розуміння контексту тощо) – 7 балів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51" w:rsidRPr="003306D5" w:rsidRDefault="00542B51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542B51" w:rsidRPr="00A31F4F" w:rsidTr="007A0A9F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51" w:rsidRPr="00877EE7" w:rsidRDefault="00542B51" w:rsidP="007A0A9F">
            <w:pPr>
              <w:jc w:val="center"/>
              <w:rPr>
                <w:rFonts w:ascii="Times New Roman" w:hAnsi="Times New Roman" w:cs="Times New Roman"/>
              </w:rPr>
            </w:pPr>
            <w:r w:rsidRPr="00877EE7">
              <w:rPr>
                <w:rFonts w:ascii="Times New Roman" w:hAnsi="Times New Roman" w:cs="Times New Roman"/>
                <w:lang w:eastAsia="en-US"/>
              </w:rPr>
              <w:t>Практичне заняття №</w:t>
            </w:r>
            <w:r>
              <w:rPr>
                <w:rFonts w:ascii="Times New Roman" w:hAnsi="Times New Roman" w:cs="Times New Roman"/>
                <w:lang w:eastAsia="en-US"/>
              </w:rPr>
              <w:t xml:space="preserve"> 5, 6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51" w:rsidRPr="00877EE7" w:rsidRDefault="00542B51" w:rsidP="007A0A9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Кейсовий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метод. Аналітично-пошукова робота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51" w:rsidRDefault="00542B51" w:rsidP="007A0A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дискусії: К</w:t>
            </w:r>
            <w:r w:rsidRPr="009E4CAB">
              <w:rPr>
                <w:rFonts w:ascii="Times New Roman" w:hAnsi="Times New Roman" w:cs="Times New Roman"/>
              </w:rPr>
              <w:t>іноіндустрія як м</w:t>
            </w:r>
            <w:r>
              <w:rPr>
                <w:rFonts w:ascii="Times New Roman" w:hAnsi="Times New Roman" w:cs="Times New Roman"/>
              </w:rPr>
              <w:t>’яка сила між</w:t>
            </w:r>
            <w:r w:rsidRPr="009E4CAB">
              <w:rPr>
                <w:rFonts w:ascii="Times New Roman" w:hAnsi="Times New Roman" w:cs="Times New Roman"/>
              </w:rPr>
              <w:t>народних комунікацій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42B51" w:rsidRDefault="00542B51" w:rsidP="007A0A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Теорія м’якої сили в контексті дипломатії та стратегічних </w:t>
            </w:r>
            <w:r>
              <w:rPr>
                <w:rFonts w:ascii="Times New Roman" w:hAnsi="Times New Roman" w:cs="Times New Roman"/>
              </w:rPr>
              <w:lastRenderedPageBreak/>
              <w:t>комунікацій.</w:t>
            </w:r>
          </w:p>
          <w:p w:rsidR="00542B51" w:rsidRDefault="00542B51" w:rsidP="007A0A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Конструктивні та деструктивні кейси впливу кіно – художнього, документального</w:t>
            </w:r>
          </w:p>
          <w:p w:rsidR="00542B51" w:rsidRPr="00877EE7" w:rsidRDefault="00542B51" w:rsidP="007A0A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877EE7">
              <w:rPr>
                <w:rFonts w:ascii="Times New Roman" w:hAnsi="Times New Roman" w:cs="Times New Roman"/>
              </w:rPr>
              <w:t>План завдань:</w:t>
            </w:r>
          </w:p>
          <w:p w:rsidR="00542B51" w:rsidRPr="00A10FF8" w:rsidRDefault="00542B51" w:rsidP="007A0A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Pr="00A10FF8">
              <w:rPr>
                <w:rFonts w:ascii="Times New Roman" w:hAnsi="Times New Roman" w:cs="Times New Roman"/>
              </w:rPr>
              <w:t>Опрацювати кейси виявлення пропаганди у російській кіноіндустрії</w:t>
            </w:r>
          </w:p>
          <w:p w:rsidR="00542B51" w:rsidRPr="00A10FF8" w:rsidRDefault="00542B51" w:rsidP="007A0A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</w:t>
            </w:r>
            <w:r w:rsidRPr="00A10FF8">
              <w:rPr>
                <w:rFonts w:ascii="Times New Roman" w:hAnsi="Times New Roman" w:cs="Times New Roman"/>
              </w:rPr>
              <w:t xml:space="preserve">Опрацювати кейси українського документального кіно в контексті теорії м’якої сили </w:t>
            </w:r>
          </w:p>
          <w:p w:rsidR="00542B51" w:rsidRPr="00877EE7" w:rsidRDefault="00542B51" w:rsidP="007A0A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Подивитися документальний цикл «Велика російська брехня» (епізод «Кіно») та інші аналітичні матеріали, зокрема фільм «Моя прекрасна колонізація»</w:t>
            </w:r>
          </w:p>
          <w:p w:rsidR="00542B51" w:rsidRPr="00877EE7" w:rsidRDefault="00542B51" w:rsidP="007A0A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51" w:rsidRPr="00877EE7" w:rsidRDefault="00542B51" w:rsidP="007A0A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Виявлення кейсів згідно з вимогами у національному просторі – 5 балів; у російському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просторі – 5 балів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51" w:rsidRPr="003306D5" w:rsidRDefault="00542B51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10</w:t>
            </w:r>
          </w:p>
        </w:tc>
      </w:tr>
      <w:tr w:rsidR="00542B51" w:rsidRPr="00A31F4F" w:rsidTr="007A0A9F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51" w:rsidRPr="00877EE7" w:rsidRDefault="00542B51" w:rsidP="007A0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Практичне заняття № 7,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51" w:rsidRPr="00877EE7" w:rsidRDefault="00542B51" w:rsidP="007A0A9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77EE7">
              <w:rPr>
                <w:rFonts w:ascii="Times New Roman" w:hAnsi="Times New Roman" w:cs="Times New Roman"/>
              </w:rPr>
              <w:t xml:space="preserve">Комплексні: навчальна дискусія, </w:t>
            </w:r>
            <w:r>
              <w:rPr>
                <w:rFonts w:ascii="Times New Roman" w:hAnsi="Times New Roman" w:cs="Times New Roman"/>
              </w:rPr>
              <w:t xml:space="preserve">аналіз </w:t>
            </w:r>
            <w:proofErr w:type="spellStart"/>
            <w:r>
              <w:rPr>
                <w:rFonts w:ascii="Times New Roman" w:hAnsi="Times New Roman" w:cs="Times New Roman"/>
              </w:rPr>
              <w:t>медіависвітлення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51" w:rsidRDefault="00542B51" w:rsidP="007A0A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Інформаційна війна і міжнародні відносини.</w:t>
            </w:r>
          </w:p>
          <w:p w:rsidR="00542B51" w:rsidRDefault="00542B51" w:rsidP="007A0A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Глобальна битва </w:t>
            </w:r>
            <w:proofErr w:type="spellStart"/>
            <w:r>
              <w:rPr>
                <w:rFonts w:ascii="Times New Roman" w:hAnsi="Times New Roman" w:cs="Times New Roman"/>
              </w:rPr>
              <w:t>наративів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. ІПСО. Інформаційні </w:t>
            </w:r>
            <w:proofErr w:type="spellStart"/>
            <w:r>
              <w:rPr>
                <w:rFonts w:ascii="Times New Roman" w:hAnsi="Times New Roman" w:cs="Times New Roman"/>
              </w:rPr>
              <w:t>вкиди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Хакерські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атаки.</w:t>
            </w:r>
          </w:p>
          <w:p w:rsidR="00542B51" w:rsidRPr="00877EE7" w:rsidRDefault="00542B51" w:rsidP="007A0A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877EE7">
              <w:rPr>
                <w:rFonts w:ascii="Times New Roman" w:hAnsi="Times New Roman" w:cs="Times New Roman"/>
              </w:rPr>
              <w:t>План завдань:</w:t>
            </w:r>
          </w:p>
          <w:p w:rsidR="00542B51" w:rsidRPr="00A10FF8" w:rsidRDefault="00542B51" w:rsidP="007A0A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Pr="00A10FF8">
              <w:rPr>
                <w:rFonts w:ascii="Times New Roman" w:hAnsi="Times New Roman" w:cs="Times New Roman"/>
              </w:rPr>
              <w:t>Проаналізувати на прикладі російсько-української війни та ще одного міжнародного воєнного конфлікту тенденції висвітлення їх в інформаційному просторі, законодавче регулювання, на рівні створення інформаційних інституцій тощо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51" w:rsidRPr="00877EE7" w:rsidRDefault="00542B51" w:rsidP="007A0A9F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Аналіз двох воєнних конфліктів (аргументованість, посилання на медіа, посилання на конкретні документи, згадки інституцій) – 10 балів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51" w:rsidRPr="003306D5" w:rsidRDefault="00542B51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542B51" w:rsidRPr="00A31F4F" w:rsidTr="007A0A9F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51" w:rsidRPr="00877EE7" w:rsidRDefault="00542B51" w:rsidP="007A0A9F">
            <w:pPr>
              <w:jc w:val="center"/>
              <w:rPr>
                <w:rFonts w:ascii="Times New Roman" w:hAnsi="Times New Roman" w:cs="Times New Roman"/>
              </w:rPr>
            </w:pPr>
            <w:r w:rsidRPr="00877EE7">
              <w:rPr>
                <w:rFonts w:ascii="Times New Roman" w:hAnsi="Times New Roman" w:cs="Times New Roman"/>
                <w:lang w:eastAsia="en-US"/>
              </w:rPr>
              <w:t>Практичне заняття №</w:t>
            </w:r>
            <w:r>
              <w:rPr>
                <w:rFonts w:ascii="Times New Roman" w:hAnsi="Times New Roman" w:cs="Times New Roman"/>
                <w:lang w:eastAsia="en-US"/>
              </w:rPr>
              <w:t xml:space="preserve"> 9, 10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51" w:rsidRPr="00877EE7" w:rsidRDefault="00542B51" w:rsidP="007A0A9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Доповідь, презентація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51" w:rsidRPr="00877EE7" w:rsidRDefault="00542B51" w:rsidP="007A0A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3E1117">
              <w:rPr>
                <w:rFonts w:ascii="Times New Roman" w:hAnsi="Times New Roman" w:cs="Times New Roman"/>
              </w:rPr>
              <w:t>Стратегічні комунікації суб’єктів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3E1117">
              <w:rPr>
                <w:rFonts w:ascii="Times New Roman" w:hAnsi="Times New Roman" w:cs="Times New Roman"/>
              </w:rPr>
              <w:t>олітики в умовах сучасної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3E1117">
              <w:rPr>
                <w:rFonts w:ascii="Times New Roman" w:hAnsi="Times New Roman" w:cs="Times New Roman"/>
              </w:rPr>
              <w:t>олітичної дійсності</w:t>
            </w:r>
            <w:r w:rsidRPr="003E1117">
              <w:rPr>
                <w:rFonts w:ascii="Times New Roman" w:hAnsi="Times New Roman" w:cs="Times New Roman"/>
              </w:rPr>
              <w:cr/>
            </w:r>
            <w:r w:rsidRPr="00877EE7">
              <w:rPr>
                <w:rFonts w:ascii="Times New Roman" w:hAnsi="Times New Roman" w:cs="Times New Roman"/>
              </w:rPr>
              <w:t>План завдань:</w:t>
            </w:r>
          </w:p>
          <w:p w:rsidR="00542B51" w:rsidRPr="003E1117" w:rsidRDefault="00542B51" w:rsidP="007A0A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3E1117">
              <w:rPr>
                <w:rFonts w:ascii="Times New Roman" w:hAnsi="Times New Roman" w:cs="Times New Roman"/>
              </w:rPr>
              <w:t>Підготувати огляди тем</w:t>
            </w:r>
          </w:p>
          <w:p w:rsidR="00542B51" w:rsidRDefault="00542B51" w:rsidP="007A0A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3E1117">
              <w:rPr>
                <w:rFonts w:ascii="Times New Roman" w:hAnsi="Times New Roman" w:cs="Times New Roman"/>
              </w:rPr>
              <w:lastRenderedPageBreak/>
              <w:t>Інформаційно-комунікаційна діяльність світового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1117">
              <w:rPr>
                <w:rFonts w:ascii="Times New Roman" w:hAnsi="Times New Roman" w:cs="Times New Roman"/>
              </w:rPr>
              <w:t xml:space="preserve">українства як «м’яка сила»: </w:t>
            </w:r>
            <w:proofErr w:type="spellStart"/>
            <w:r w:rsidRPr="003E1117">
              <w:rPr>
                <w:rFonts w:ascii="Times New Roman" w:hAnsi="Times New Roman" w:cs="Times New Roman"/>
              </w:rPr>
              <w:t>документні</w:t>
            </w:r>
            <w:proofErr w:type="spellEnd"/>
            <w:r w:rsidRPr="003E1117">
              <w:rPr>
                <w:rFonts w:ascii="Times New Roman" w:hAnsi="Times New Roman" w:cs="Times New Roman"/>
              </w:rPr>
              <w:t xml:space="preserve"> ресурси,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1117">
              <w:rPr>
                <w:rFonts w:ascii="Times New Roman" w:hAnsi="Times New Roman" w:cs="Times New Roman"/>
              </w:rPr>
              <w:t xml:space="preserve">стратегічні </w:t>
            </w:r>
            <w:proofErr w:type="spellStart"/>
            <w:r w:rsidRPr="003E1117">
              <w:rPr>
                <w:rFonts w:ascii="Times New Roman" w:hAnsi="Times New Roman" w:cs="Times New Roman"/>
              </w:rPr>
              <w:t>наративи</w:t>
            </w:r>
            <w:proofErr w:type="spellEnd"/>
          </w:p>
          <w:p w:rsidR="00542B51" w:rsidRPr="003E1117" w:rsidRDefault="00542B51" w:rsidP="007A0A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3E1117">
              <w:rPr>
                <w:rFonts w:ascii="Times New Roman" w:hAnsi="Times New Roman" w:cs="Times New Roman"/>
              </w:rPr>
              <w:t>Національні стереотипи як засіб</w:t>
            </w:r>
          </w:p>
          <w:p w:rsidR="00542B51" w:rsidRPr="003E1117" w:rsidRDefault="00542B51" w:rsidP="007A0A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3E1117">
              <w:rPr>
                <w:rFonts w:ascii="Times New Roman" w:hAnsi="Times New Roman" w:cs="Times New Roman"/>
              </w:rPr>
              <w:t>позиціонування держави на внутрішньому</w:t>
            </w:r>
          </w:p>
          <w:p w:rsidR="00542B51" w:rsidRPr="003E1117" w:rsidRDefault="00542B51" w:rsidP="007A0A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3E1117">
              <w:rPr>
                <w:rFonts w:ascii="Times New Roman" w:hAnsi="Times New Roman" w:cs="Times New Roman"/>
              </w:rPr>
              <w:t>та зовнішньому рівнях комунікації</w:t>
            </w:r>
          </w:p>
          <w:p w:rsidR="00542B51" w:rsidRPr="003E1117" w:rsidRDefault="00542B51" w:rsidP="007A0A9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3E1117">
              <w:rPr>
                <w:rFonts w:ascii="Times New Roman" w:hAnsi="Times New Roman" w:cs="Times New Roman"/>
              </w:rPr>
              <w:t>Зарубіжний д</w:t>
            </w:r>
            <w:r>
              <w:rPr>
                <w:rFonts w:ascii="Times New Roman" w:hAnsi="Times New Roman" w:cs="Times New Roman"/>
              </w:rPr>
              <w:t xml:space="preserve">освід використання стратегічних </w:t>
            </w:r>
            <w:r w:rsidRPr="003E1117">
              <w:rPr>
                <w:rFonts w:ascii="Times New Roman" w:hAnsi="Times New Roman" w:cs="Times New Roman"/>
              </w:rPr>
              <w:t>комунікацій у політичній сфері</w:t>
            </w:r>
          </w:p>
          <w:p w:rsidR="00542B51" w:rsidRPr="003E1117" w:rsidRDefault="00542B51" w:rsidP="007A0A9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3E1117">
              <w:rPr>
                <w:rFonts w:ascii="Times New Roman" w:hAnsi="Times New Roman" w:cs="Times New Roman"/>
              </w:rPr>
              <w:t>Особливості використання стратегічних</w:t>
            </w:r>
          </w:p>
          <w:p w:rsidR="00542B51" w:rsidRPr="003E1117" w:rsidRDefault="00542B51" w:rsidP="007A0A9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3E1117">
              <w:rPr>
                <w:rFonts w:ascii="Times New Roman" w:hAnsi="Times New Roman" w:cs="Times New Roman"/>
              </w:rPr>
              <w:t>комунікацій в реалізації ключових</w:t>
            </w:r>
          </w:p>
          <w:p w:rsidR="00542B51" w:rsidRPr="003E1117" w:rsidRDefault="00542B51" w:rsidP="007A0A9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інтересів НАТО та ЄС</w:t>
            </w:r>
          </w:p>
          <w:p w:rsidR="00542B51" w:rsidRPr="003E1117" w:rsidRDefault="00542B51" w:rsidP="007A0A9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3E1117">
              <w:rPr>
                <w:rFonts w:ascii="Times New Roman" w:hAnsi="Times New Roman" w:cs="Times New Roman"/>
              </w:rPr>
              <w:t>Стратегічні комунікації як інструмент</w:t>
            </w:r>
          </w:p>
          <w:p w:rsidR="00542B51" w:rsidRPr="003E1117" w:rsidRDefault="00542B51" w:rsidP="007A0A9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3E1117">
              <w:rPr>
                <w:rFonts w:ascii="Times New Roman" w:hAnsi="Times New Roman" w:cs="Times New Roman"/>
              </w:rPr>
              <w:t>реалізації національних інтересів держави</w:t>
            </w:r>
          </w:p>
          <w:p w:rsidR="00542B51" w:rsidRDefault="00542B51" w:rsidP="007A0A9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3E1117">
              <w:rPr>
                <w:rFonts w:ascii="Times New Roman" w:hAnsi="Times New Roman" w:cs="Times New Roman"/>
              </w:rPr>
              <w:t>(на прикладі Франції, Німеччини, Польщі)</w:t>
            </w:r>
          </w:p>
          <w:p w:rsidR="00542B51" w:rsidRPr="003E1117" w:rsidRDefault="00542B51" w:rsidP="007A0A9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(з опертям на видання: </w:t>
            </w:r>
            <w:r w:rsidRPr="003E1117">
              <w:rPr>
                <w:rFonts w:ascii="Times New Roman" w:hAnsi="Times New Roman" w:cs="Times New Roman"/>
              </w:rPr>
              <w:t>Стратегічні комунікації суб’є</w:t>
            </w:r>
            <w:r>
              <w:rPr>
                <w:rFonts w:ascii="Times New Roman" w:hAnsi="Times New Roman" w:cs="Times New Roman"/>
              </w:rPr>
              <w:t xml:space="preserve">ктів політики в умовах сучасної </w:t>
            </w:r>
            <w:r w:rsidRPr="003E1117">
              <w:rPr>
                <w:rFonts w:ascii="Times New Roman" w:hAnsi="Times New Roman" w:cs="Times New Roman"/>
              </w:rPr>
              <w:t xml:space="preserve">політичної дійсності : колективна монографія / за </w:t>
            </w:r>
            <w:proofErr w:type="spellStart"/>
            <w:r w:rsidRPr="003E1117">
              <w:rPr>
                <w:rFonts w:ascii="Times New Roman" w:hAnsi="Times New Roman" w:cs="Times New Roman"/>
              </w:rPr>
              <w:t>заг</w:t>
            </w:r>
            <w:proofErr w:type="spellEnd"/>
            <w:r w:rsidRPr="003E1117">
              <w:rPr>
                <w:rFonts w:ascii="Times New Roman" w:hAnsi="Times New Roman" w:cs="Times New Roman"/>
              </w:rPr>
              <w:t>. ред.</w:t>
            </w:r>
          </w:p>
          <w:p w:rsidR="00542B51" w:rsidRDefault="00542B51" w:rsidP="007A0A9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Хорішко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 С.</w:t>
            </w:r>
            <w:r w:rsidRPr="003E1117">
              <w:rPr>
                <w:rFonts w:ascii="Times New Roman" w:hAnsi="Times New Roman" w:cs="Times New Roman"/>
              </w:rPr>
              <w:t xml:space="preserve"> Запоріжжя : Вид</w:t>
            </w:r>
            <w:r>
              <w:rPr>
                <w:rFonts w:ascii="Times New Roman" w:hAnsi="Times New Roman" w:cs="Times New Roman"/>
              </w:rPr>
              <w:t>авничий дім «</w:t>
            </w:r>
            <w:proofErr w:type="spellStart"/>
            <w:r>
              <w:rPr>
                <w:rFonts w:ascii="Times New Roman" w:hAnsi="Times New Roman" w:cs="Times New Roman"/>
              </w:rPr>
              <w:t>Гельветика</w:t>
            </w:r>
            <w:proofErr w:type="spellEnd"/>
            <w:r>
              <w:rPr>
                <w:rFonts w:ascii="Times New Roman" w:hAnsi="Times New Roman" w:cs="Times New Roman"/>
              </w:rPr>
              <w:t>», 2021.</w:t>
            </w:r>
            <w:r w:rsidRPr="003E1117">
              <w:rPr>
                <w:rFonts w:ascii="Times New Roman" w:hAnsi="Times New Roman" w:cs="Times New Roman"/>
              </w:rPr>
              <w:t xml:space="preserve"> 178 с</w:t>
            </w:r>
            <w:r>
              <w:rPr>
                <w:rFonts w:ascii="Times New Roman" w:hAnsi="Times New Roman" w:cs="Times New Roman"/>
              </w:rPr>
              <w:t>)</w:t>
            </w:r>
            <w:r>
              <w:t xml:space="preserve"> </w:t>
            </w:r>
            <w:hyperlink r:id="rId4" w:history="1">
              <w:r w:rsidRPr="00F77956">
                <w:rPr>
                  <w:rStyle w:val="a3"/>
                  <w:rFonts w:ascii="Times New Roman" w:hAnsi="Times New Roman" w:cs="Times New Roman"/>
                </w:rPr>
                <w:t>https://moodle.znu.edu.ua/pluginfile.php/1178861/mod_resource/content/1/%D0%9C%D0%BE%D0%BD%D0%BE%D0%B3%D1%80%D0%B0%D1%84%D1%96%D1%8F%202021%2C%20%D0%A3%D0%BA%D1%80%20%281%29%20%282%29.pdf</w:t>
              </w:r>
            </w:hyperlink>
          </w:p>
          <w:p w:rsidR="00542B51" w:rsidRPr="00877EE7" w:rsidRDefault="00542B51" w:rsidP="007A0A9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51" w:rsidRPr="00877EE7" w:rsidRDefault="00542B51" w:rsidP="007A0A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Доповідь, презентація </w:t>
            </w:r>
            <w:r w:rsidRPr="00877EE7">
              <w:rPr>
                <w:rFonts w:ascii="Times New Roman" w:hAnsi="Times New Roman" w:cs="Times New Roman"/>
                <w:lang w:eastAsia="en-US"/>
              </w:rPr>
              <w:t xml:space="preserve">– </w:t>
            </w:r>
            <w:r>
              <w:rPr>
                <w:rFonts w:ascii="Times New Roman" w:hAnsi="Times New Roman" w:cs="Times New Roman"/>
                <w:lang w:eastAsia="en-US"/>
              </w:rPr>
              <w:t>10</w:t>
            </w:r>
            <w:r w:rsidRPr="00877EE7">
              <w:rPr>
                <w:rFonts w:ascii="Times New Roman" w:hAnsi="Times New Roman" w:cs="Times New Roman"/>
                <w:lang w:eastAsia="en-US"/>
              </w:rPr>
              <w:t xml:space="preserve"> бали (змістовність, репрезентація прикладами)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51" w:rsidRPr="00877EE7" w:rsidRDefault="00542B51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542B51" w:rsidRPr="00A31F4F" w:rsidTr="007A0A9F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51" w:rsidRPr="00877EE7" w:rsidRDefault="00542B51" w:rsidP="007A0A9F">
            <w:pPr>
              <w:jc w:val="center"/>
              <w:rPr>
                <w:rFonts w:ascii="Times New Roman" w:hAnsi="Times New Roman" w:cs="Times New Roman"/>
              </w:rPr>
            </w:pPr>
            <w:r w:rsidRPr="00877EE7">
              <w:rPr>
                <w:rFonts w:ascii="Times New Roman" w:hAnsi="Times New Roman" w:cs="Times New Roman"/>
                <w:lang w:eastAsia="en-US"/>
              </w:rPr>
              <w:lastRenderedPageBreak/>
              <w:t>Практичне заняття №</w:t>
            </w:r>
            <w:r>
              <w:rPr>
                <w:rFonts w:ascii="Times New Roman" w:hAnsi="Times New Roman" w:cs="Times New Roman"/>
                <w:lang w:eastAsia="en-US"/>
              </w:rPr>
              <w:t xml:space="preserve">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51" w:rsidRPr="00877EE7" w:rsidRDefault="00542B51" w:rsidP="007A0A9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77EE7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роходження онлайн-</w:t>
            </w:r>
            <w:r w:rsidRPr="00877EE7">
              <w:rPr>
                <w:rFonts w:ascii="Times New Roman" w:hAnsi="Times New Roman" w:cs="Times New Roman"/>
              </w:rPr>
              <w:t>курсу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51" w:rsidRDefault="00542B51" w:rsidP="007A0A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B31D4">
              <w:rPr>
                <w:rFonts w:ascii="Times New Roman" w:hAnsi="Times New Roman" w:cs="Times New Roman"/>
                <w:lang w:val="ru-RU"/>
              </w:rPr>
              <w:t>Міжнародні</w:t>
            </w:r>
            <w:proofErr w:type="spellEnd"/>
            <w:r w:rsidRPr="008B31D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B31D4">
              <w:rPr>
                <w:rFonts w:ascii="Times New Roman" w:hAnsi="Times New Roman" w:cs="Times New Roman"/>
                <w:lang w:val="ru-RU"/>
              </w:rPr>
              <w:t>реєстри</w:t>
            </w:r>
            <w:proofErr w:type="spellEnd"/>
            <w:r w:rsidRPr="008B31D4">
              <w:rPr>
                <w:rFonts w:ascii="Times New Roman" w:hAnsi="Times New Roman" w:cs="Times New Roman"/>
                <w:lang w:val="ru-RU"/>
              </w:rPr>
              <w:t xml:space="preserve">: як </w:t>
            </w:r>
            <w:proofErr w:type="spellStart"/>
            <w:r w:rsidRPr="008B31D4">
              <w:rPr>
                <w:rFonts w:ascii="Times New Roman" w:hAnsi="Times New Roman" w:cs="Times New Roman"/>
                <w:lang w:val="ru-RU"/>
              </w:rPr>
              <w:t>шукати</w:t>
            </w:r>
            <w:proofErr w:type="spellEnd"/>
            <w:r w:rsidRPr="008B31D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8B31D4">
              <w:rPr>
                <w:rFonts w:ascii="Times New Roman" w:hAnsi="Times New Roman" w:cs="Times New Roman"/>
                <w:lang w:val="ru-RU"/>
              </w:rPr>
              <w:t>знаходити</w:t>
            </w:r>
            <w:proofErr w:type="spellEnd"/>
          </w:p>
          <w:p w:rsidR="00542B51" w:rsidRDefault="00542B51" w:rsidP="007A0A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План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завдань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:</w:t>
            </w:r>
          </w:p>
          <w:p w:rsidR="00542B51" w:rsidRDefault="00542B51" w:rsidP="007A0A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Пройти курс на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Прометеусі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: «</w:t>
            </w:r>
            <w:proofErr w:type="spellStart"/>
            <w:r w:rsidRPr="008B31D4">
              <w:rPr>
                <w:rFonts w:ascii="Times New Roman" w:hAnsi="Times New Roman" w:cs="Times New Roman"/>
                <w:lang w:val="ru-RU"/>
              </w:rPr>
              <w:t>Міжнародні</w:t>
            </w:r>
            <w:proofErr w:type="spellEnd"/>
            <w:r w:rsidRPr="008B31D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B31D4">
              <w:rPr>
                <w:rFonts w:ascii="Times New Roman" w:hAnsi="Times New Roman" w:cs="Times New Roman"/>
                <w:lang w:val="ru-RU"/>
              </w:rPr>
              <w:t>реєстри</w:t>
            </w:r>
            <w:proofErr w:type="spellEnd"/>
            <w:r w:rsidRPr="008B31D4">
              <w:rPr>
                <w:rFonts w:ascii="Times New Roman" w:hAnsi="Times New Roman" w:cs="Times New Roman"/>
                <w:lang w:val="ru-RU"/>
              </w:rPr>
              <w:t xml:space="preserve">: як </w:t>
            </w:r>
            <w:proofErr w:type="spellStart"/>
            <w:r w:rsidRPr="008B31D4">
              <w:rPr>
                <w:rFonts w:ascii="Times New Roman" w:hAnsi="Times New Roman" w:cs="Times New Roman"/>
                <w:lang w:val="ru-RU"/>
              </w:rPr>
              <w:t>шукати</w:t>
            </w:r>
            <w:proofErr w:type="spellEnd"/>
            <w:r w:rsidRPr="008B31D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8B31D4">
              <w:rPr>
                <w:rFonts w:ascii="Times New Roman" w:hAnsi="Times New Roman" w:cs="Times New Roman"/>
                <w:lang w:val="ru-RU"/>
              </w:rPr>
              <w:t>знаходити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  <w:p w:rsidR="00542B51" w:rsidRDefault="00542B51" w:rsidP="007A0A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5" w:history="1">
              <w:r w:rsidRPr="00F77956">
                <w:rPr>
                  <w:rStyle w:val="a3"/>
                  <w:rFonts w:ascii="Times New Roman" w:hAnsi="Times New Roman" w:cs="Times New Roman"/>
                  <w:lang w:val="ru-RU"/>
                </w:rPr>
                <w:t>https://prometheus.org.ua/prometheus-free/international-registries/</w:t>
              </w:r>
            </w:hyperlink>
          </w:p>
          <w:p w:rsidR="00542B51" w:rsidRPr="00877EE7" w:rsidRDefault="00542B51" w:rsidP="007A0A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51" w:rsidRPr="00877EE7" w:rsidRDefault="00542B51" w:rsidP="007A0A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77EE7">
              <w:rPr>
                <w:rFonts w:ascii="Times New Roman" w:hAnsi="Times New Roman" w:cs="Times New Roman"/>
                <w:lang w:eastAsia="en-US"/>
              </w:rPr>
              <w:t>п</w:t>
            </w:r>
            <w:r>
              <w:rPr>
                <w:rFonts w:ascii="Times New Roman" w:hAnsi="Times New Roman" w:cs="Times New Roman"/>
                <w:lang w:eastAsia="en-US"/>
              </w:rPr>
              <w:t>роходження онлайн-курсу</w:t>
            </w:r>
            <w:r w:rsidRPr="00877EE7">
              <w:rPr>
                <w:rFonts w:ascii="Times New Roman" w:hAnsi="Times New Roman" w:cs="Times New Roman"/>
                <w:lang w:eastAsia="en-US"/>
              </w:rPr>
              <w:t xml:space="preserve"> – </w:t>
            </w:r>
            <w:r>
              <w:rPr>
                <w:rFonts w:ascii="Times New Roman" w:hAnsi="Times New Roman" w:cs="Times New Roman"/>
                <w:lang w:eastAsia="en-US"/>
              </w:rPr>
              <w:t>10</w:t>
            </w:r>
            <w:r w:rsidRPr="00877EE7">
              <w:rPr>
                <w:rFonts w:ascii="Times New Roman" w:hAnsi="Times New Roman" w:cs="Times New Roman"/>
                <w:lang w:eastAsia="en-US"/>
              </w:rPr>
              <w:t xml:space="preserve"> балів</w:t>
            </w:r>
            <w:r w:rsidRPr="00877EE7">
              <w:rPr>
                <w:rFonts w:ascii="Times New Roman" w:hAnsi="Times New Roman" w:cs="Times New Roman"/>
                <w:lang w:val="ru-RU" w:eastAsia="en-US"/>
              </w:rPr>
              <w:t xml:space="preserve"> (</w:t>
            </w:r>
            <w:r>
              <w:rPr>
                <w:rFonts w:ascii="Times New Roman" w:hAnsi="Times New Roman" w:cs="Times New Roman"/>
                <w:lang w:eastAsia="en-US"/>
              </w:rPr>
              <w:t>за умови набрання результату від 80 % правильних відповідей</w:t>
            </w:r>
            <w:r w:rsidRPr="00877EE7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51" w:rsidRPr="00877EE7" w:rsidRDefault="00542B51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542B51" w:rsidRPr="00A31F4F" w:rsidTr="007A0A9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51" w:rsidRPr="00877EE7" w:rsidRDefault="00542B51" w:rsidP="007A0A9F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877EE7">
              <w:rPr>
                <w:rFonts w:ascii="Times New Roman" w:hAnsi="Times New Roman" w:cs="Times New Roman"/>
                <w:b/>
              </w:rPr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51" w:rsidRPr="00877EE7" w:rsidRDefault="00542B51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77EE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51" w:rsidRPr="00877EE7" w:rsidRDefault="00542B51" w:rsidP="007A0A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51" w:rsidRPr="00877EE7" w:rsidRDefault="00542B51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51" w:rsidRPr="00877EE7" w:rsidRDefault="00542B51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77EE7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542B51" w:rsidRPr="00A31F4F" w:rsidTr="007A0A9F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51" w:rsidRPr="00877EE7" w:rsidRDefault="00542B51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877EE7">
              <w:rPr>
                <w:rFonts w:ascii="Times New Roman" w:hAnsi="Times New Roman" w:cs="Times New Roman"/>
                <w:b/>
              </w:rPr>
              <w:t>Підсумковий контроль</w:t>
            </w:r>
          </w:p>
        </w:tc>
      </w:tr>
      <w:tr w:rsidR="00542B51" w:rsidRPr="00A31F4F" w:rsidTr="007A0A9F">
        <w:trPr>
          <w:trHeight w:val="1343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42B51" w:rsidRPr="00877EE7" w:rsidRDefault="00542B51" w:rsidP="007A0A9F">
            <w:pPr>
              <w:ind w:lef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542B51" w:rsidRPr="00877EE7" w:rsidRDefault="00542B51" w:rsidP="007A0A9F">
            <w:pPr>
              <w:ind w:left="113"/>
              <w:rPr>
                <w:rFonts w:ascii="Times New Roman" w:hAnsi="Times New Roman" w:cs="Times New Roman"/>
                <w:b/>
              </w:rPr>
            </w:pPr>
          </w:p>
          <w:p w:rsidR="00542B51" w:rsidRPr="00877EE7" w:rsidRDefault="00542B51" w:rsidP="007A0A9F">
            <w:pPr>
              <w:ind w:lef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77EE7">
              <w:rPr>
                <w:rFonts w:ascii="Times New Roman" w:hAnsi="Times New Roman" w:cs="Times New Roman"/>
                <w:b/>
              </w:rPr>
              <w:t>Залік</w:t>
            </w:r>
          </w:p>
          <w:p w:rsidR="00542B51" w:rsidRPr="00877EE7" w:rsidRDefault="00542B51" w:rsidP="007A0A9F">
            <w:pPr>
              <w:ind w:lef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51" w:rsidRPr="00877EE7" w:rsidRDefault="00542B51" w:rsidP="007A0A9F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877EE7">
              <w:rPr>
                <w:rFonts w:ascii="Times New Roman" w:hAnsi="Times New Roman" w:cs="Times New Roman"/>
              </w:rPr>
              <w:t>Теоретичне завдання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51" w:rsidRPr="00877EE7" w:rsidRDefault="00542B51" w:rsidP="007A0A9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77EE7">
              <w:rPr>
                <w:rFonts w:ascii="Times New Roman" w:hAnsi="Times New Roman" w:cs="Times New Roman"/>
              </w:rPr>
              <w:t>Опитування у вигляді тесту подано у системі Мудл</w:t>
            </w:r>
          </w:p>
          <w:p w:rsidR="00542B51" w:rsidRPr="00877EE7" w:rsidRDefault="00542B51" w:rsidP="007A0A9F">
            <w:pPr>
              <w:autoSpaceDE w:val="0"/>
              <w:autoSpaceDN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877EE7">
              <w:rPr>
                <w:rFonts w:ascii="Times New Roman" w:hAnsi="Times New Roman" w:cs="Times New Roman"/>
              </w:rPr>
              <w:t>https://moodle.znu.edu.ua/course/view.php?id=9990#section-3: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51" w:rsidRPr="00877EE7" w:rsidRDefault="00542B51" w:rsidP="007A0A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77EE7">
              <w:rPr>
                <w:rFonts w:ascii="Times New Roman" w:hAnsi="Times New Roman" w:cs="Times New Roman"/>
                <w:lang w:eastAsia="en-US"/>
              </w:rPr>
              <w:t>Складається із відповіді на теоретичні питання у вигляді тестів у системі Мудл.</w:t>
            </w:r>
          </w:p>
          <w:p w:rsidR="00542B51" w:rsidRPr="00877EE7" w:rsidRDefault="00542B51" w:rsidP="007A0A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77EE7">
              <w:rPr>
                <w:rFonts w:ascii="Times New Roman" w:hAnsi="Times New Roman" w:cs="Times New Roman"/>
                <w:lang w:eastAsia="en-US"/>
              </w:rPr>
              <w:t>За відповіді на тестові завдання студент може отримати до 10 балів (1 правильна відповідь= 1 бал)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51" w:rsidRPr="003306D5" w:rsidRDefault="00542B51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306D5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542B51" w:rsidRPr="00A31F4F" w:rsidTr="007A0A9F">
        <w:trPr>
          <w:trHeight w:val="565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B51" w:rsidRPr="00877EE7" w:rsidRDefault="00542B51" w:rsidP="007A0A9F">
            <w:pPr>
              <w:ind w:lef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51" w:rsidRPr="00877EE7" w:rsidRDefault="00542B51" w:rsidP="007A0A9F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  <w:lang w:eastAsia="en-US"/>
              </w:rPr>
            </w:pPr>
            <w:r w:rsidRPr="00877EE7">
              <w:rPr>
                <w:rFonts w:ascii="Times New Roman" w:hAnsi="Times New Roman" w:cs="Times New Roman"/>
              </w:rPr>
              <w:t xml:space="preserve">ІДЗ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51" w:rsidRDefault="00542B51" w:rsidP="007A0A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uk-UA"/>
              </w:rPr>
            </w:pPr>
            <w:r w:rsidRPr="00877EE7">
              <w:rPr>
                <w:rFonts w:ascii="Times New Roman" w:eastAsia="Times New Roman" w:hAnsi="Times New Roman" w:cs="Times New Roman"/>
                <w:lang w:eastAsia="uk-UA"/>
              </w:rPr>
              <w:t xml:space="preserve">Передбачає проходження онлайн-курсу на освітній платформі </w:t>
            </w:r>
            <w:proofErr w:type="spellStart"/>
            <w:r w:rsidRPr="00877EE7">
              <w:rPr>
                <w:rFonts w:ascii="Times New Roman" w:eastAsia="Times New Roman" w:hAnsi="Times New Roman" w:cs="Times New Roman"/>
                <w:lang w:eastAsia="uk-UA"/>
              </w:rPr>
              <w:t>Prometheus</w:t>
            </w:r>
            <w:proofErr w:type="spellEnd"/>
            <w:r w:rsidRPr="00877EE7">
              <w:rPr>
                <w:rFonts w:ascii="Times New Roman" w:eastAsia="Times New Roman" w:hAnsi="Times New Roman" w:cs="Times New Roman"/>
                <w:lang w:eastAsia="uk-UA"/>
              </w:rPr>
              <w:t xml:space="preserve"> (на вибір) «</w:t>
            </w:r>
            <w:r w:rsidRPr="00D02910">
              <w:rPr>
                <w:rFonts w:ascii="Times New Roman" w:eastAsia="Times New Roman" w:hAnsi="Times New Roman" w:cs="Times New Roman"/>
                <w:lang w:eastAsia="uk-UA"/>
              </w:rPr>
              <w:t>Україна на шляху до ЄС</w:t>
            </w:r>
            <w:r w:rsidRPr="00877EE7">
              <w:rPr>
                <w:rFonts w:ascii="Times New Roman" w:eastAsia="Times New Roman" w:hAnsi="Times New Roman" w:cs="Times New Roman"/>
                <w:lang w:eastAsia="uk-UA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(</w:t>
            </w:r>
            <w:hyperlink r:id="rId6" w:history="1">
              <w:r w:rsidRPr="00F77956">
                <w:rPr>
                  <w:rStyle w:val="a3"/>
                  <w:rFonts w:ascii="Times New Roman" w:eastAsia="Times New Roman" w:hAnsi="Times New Roman" w:cs="Times New Roman"/>
                  <w:lang w:eastAsia="uk-UA"/>
                </w:rPr>
                <w:t>https://prometheus.org.ua/prometheus-free/ukraine-road-to-eu/</w:t>
              </w:r>
            </w:hyperlink>
            <w:r>
              <w:rPr>
                <w:rFonts w:ascii="Times New Roman" w:eastAsia="Times New Roman" w:hAnsi="Times New Roman" w:cs="Times New Roman"/>
                <w:lang w:eastAsia="uk-UA"/>
              </w:rPr>
              <w:t>) та/або</w:t>
            </w:r>
            <w:r w:rsidRPr="00877EE7">
              <w:rPr>
                <w:rFonts w:ascii="Times New Roman" w:eastAsia="Times New Roman" w:hAnsi="Times New Roman" w:cs="Times New Roman"/>
                <w:lang w:eastAsia="uk-UA"/>
              </w:rPr>
              <w:t xml:space="preserve"> «</w:t>
            </w:r>
            <w:r w:rsidRPr="00D02910">
              <w:rPr>
                <w:rFonts w:ascii="Times New Roman" w:eastAsia="Times New Roman" w:hAnsi="Times New Roman" w:cs="Times New Roman"/>
                <w:lang w:eastAsia="uk-UA"/>
              </w:rPr>
              <w:t>Інформаційна гігієна під час війни</w:t>
            </w:r>
            <w:r w:rsidRPr="00877EE7">
              <w:rPr>
                <w:rFonts w:ascii="Times New Roman" w:eastAsia="Times New Roman" w:hAnsi="Times New Roman" w:cs="Times New Roman"/>
                <w:lang w:eastAsia="uk-UA"/>
              </w:rPr>
              <w:t xml:space="preserve">» </w:t>
            </w:r>
            <w:hyperlink r:id="rId7" w:history="1">
              <w:r w:rsidRPr="00F77956">
                <w:rPr>
                  <w:rStyle w:val="a3"/>
                  <w:rFonts w:ascii="Times New Roman" w:eastAsia="Times New Roman" w:hAnsi="Times New Roman" w:cs="Times New Roman"/>
                  <w:lang w:eastAsia="uk-UA"/>
                </w:rPr>
                <w:t>https://prometheus.org.ua/prometheus-free/information-hygiene-during-war/</w:t>
              </w:r>
            </w:hyperlink>
          </w:p>
          <w:p w:rsidR="00542B51" w:rsidRPr="00877EE7" w:rsidRDefault="00542B51" w:rsidP="007A0A9F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51" w:rsidRPr="00877EE7" w:rsidRDefault="00542B51" w:rsidP="007A0A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77EE7">
              <w:rPr>
                <w:rFonts w:ascii="Times New Roman" w:hAnsi="Times New Roman" w:cs="Times New Roman"/>
                <w:lang w:eastAsia="en-US"/>
              </w:rPr>
              <w:t>Студент може отримати до 30 балів за результат проходження онлайн-курсу (отримавши від 90% правильних відповідей)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51" w:rsidRPr="003306D5" w:rsidRDefault="00542B51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306D5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</w:tr>
      <w:tr w:rsidR="00542B51" w:rsidRPr="00A31F4F" w:rsidTr="007A0A9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51" w:rsidRPr="003306D5" w:rsidRDefault="00542B51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3306D5">
              <w:rPr>
                <w:rFonts w:ascii="Times New Roman" w:hAnsi="Times New Roman" w:cs="Times New Roman"/>
                <w:b/>
              </w:rPr>
              <w:lastRenderedPageBreak/>
              <w:t xml:space="preserve">Усього за </w:t>
            </w:r>
          </w:p>
          <w:p w:rsidR="00542B51" w:rsidRPr="003306D5" w:rsidRDefault="00542B51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306D5">
              <w:rPr>
                <w:rFonts w:ascii="Times New Roman" w:hAnsi="Times New Roman" w:cs="Times New Roman"/>
                <w:b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51" w:rsidRPr="003306D5" w:rsidRDefault="00542B51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51" w:rsidRPr="003306D5" w:rsidRDefault="00542B51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51" w:rsidRPr="003306D5" w:rsidRDefault="00542B51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51" w:rsidRPr="003306D5" w:rsidRDefault="00542B51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3306D5"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:rsidR="00542B51" w:rsidRPr="00A31F4F" w:rsidRDefault="00542B51" w:rsidP="00542B51">
      <w:pPr>
        <w:ind w:firstLine="709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542B51" w:rsidRPr="00A31F4F" w:rsidRDefault="00542B51" w:rsidP="00542B51">
      <w:pPr>
        <w:jc w:val="center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542B51" w:rsidRPr="00A31F4F" w:rsidTr="007A0A9F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B51" w:rsidRPr="00A31F4F" w:rsidRDefault="00542B51" w:rsidP="007A0A9F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A31F4F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A31F4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542B51" w:rsidRPr="00A31F4F" w:rsidRDefault="00542B51" w:rsidP="007A0A9F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B51" w:rsidRPr="00A31F4F" w:rsidRDefault="00542B51" w:rsidP="007A0A9F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B51" w:rsidRPr="00A31F4F" w:rsidRDefault="00542B51" w:rsidP="007A0A9F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542B51" w:rsidRPr="00A31F4F" w:rsidTr="007A0A9F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B51" w:rsidRPr="00A31F4F" w:rsidRDefault="00542B51" w:rsidP="007A0A9F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B51" w:rsidRPr="00A31F4F" w:rsidRDefault="00542B51" w:rsidP="007A0A9F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B51" w:rsidRPr="00A31F4F" w:rsidRDefault="00542B51" w:rsidP="007A0A9F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B51" w:rsidRPr="00A31F4F" w:rsidRDefault="00542B51" w:rsidP="007A0A9F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542B51" w:rsidRPr="00A31F4F" w:rsidTr="007A0A9F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B51" w:rsidRPr="00A31F4F" w:rsidRDefault="00542B51" w:rsidP="007A0A9F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B51" w:rsidRPr="00A31F4F" w:rsidRDefault="00542B51" w:rsidP="007A0A9F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B51" w:rsidRPr="00A31F4F" w:rsidRDefault="00542B51" w:rsidP="007A0A9F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B51" w:rsidRPr="00A31F4F" w:rsidRDefault="00542B51" w:rsidP="007A0A9F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542B51" w:rsidRPr="00A31F4F" w:rsidTr="007A0A9F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B51" w:rsidRPr="00A31F4F" w:rsidRDefault="00542B51" w:rsidP="007A0A9F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B51" w:rsidRPr="00A31F4F" w:rsidRDefault="00542B51" w:rsidP="007A0A9F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B51" w:rsidRPr="00A31F4F" w:rsidRDefault="00542B51" w:rsidP="007A0A9F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B51" w:rsidRPr="00A31F4F" w:rsidRDefault="00542B51" w:rsidP="007A0A9F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542B51" w:rsidRPr="00A31F4F" w:rsidTr="007A0A9F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B51" w:rsidRPr="00A31F4F" w:rsidRDefault="00542B51" w:rsidP="007A0A9F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B51" w:rsidRPr="00A31F4F" w:rsidRDefault="00542B51" w:rsidP="007A0A9F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B51" w:rsidRPr="00A31F4F" w:rsidRDefault="00542B51" w:rsidP="007A0A9F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B51" w:rsidRPr="00A31F4F" w:rsidRDefault="00542B51" w:rsidP="007A0A9F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542B51" w:rsidRPr="00A31F4F" w:rsidTr="007A0A9F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B51" w:rsidRPr="00A31F4F" w:rsidRDefault="00542B51" w:rsidP="007A0A9F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B51" w:rsidRPr="00A31F4F" w:rsidRDefault="00542B51" w:rsidP="007A0A9F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B51" w:rsidRPr="00A31F4F" w:rsidRDefault="00542B51" w:rsidP="007A0A9F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B51" w:rsidRPr="00A31F4F" w:rsidRDefault="00542B51" w:rsidP="007A0A9F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542B51" w:rsidRPr="00A31F4F" w:rsidTr="007A0A9F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B51" w:rsidRPr="00A31F4F" w:rsidRDefault="00542B51" w:rsidP="007A0A9F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B51" w:rsidRPr="00A31F4F" w:rsidRDefault="00542B51" w:rsidP="007A0A9F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B51" w:rsidRPr="00A31F4F" w:rsidRDefault="00542B51" w:rsidP="007A0A9F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B51" w:rsidRPr="00A31F4F" w:rsidRDefault="00542B51" w:rsidP="007A0A9F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542B51" w:rsidRPr="00A31F4F" w:rsidTr="007A0A9F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B51" w:rsidRPr="00A31F4F" w:rsidRDefault="00542B51" w:rsidP="007A0A9F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B51" w:rsidRPr="00A31F4F" w:rsidRDefault="00542B51" w:rsidP="007A0A9F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B51" w:rsidRPr="00A31F4F" w:rsidRDefault="00542B51" w:rsidP="007A0A9F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B51" w:rsidRPr="00A31F4F" w:rsidRDefault="00542B51" w:rsidP="007A0A9F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542B51" w:rsidRPr="00A31F4F" w:rsidTr="007A0A9F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B51" w:rsidRPr="00A31F4F" w:rsidRDefault="00542B51" w:rsidP="007A0A9F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B51" w:rsidRPr="00A31F4F" w:rsidRDefault="00542B51" w:rsidP="007A0A9F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B51" w:rsidRPr="00A31F4F" w:rsidRDefault="00542B51" w:rsidP="007A0A9F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B51" w:rsidRPr="00A31F4F" w:rsidRDefault="00542B51" w:rsidP="007A0A9F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542B51" w:rsidRPr="00A31F4F" w:rsidRDefault="00542B51" w:rsidP="00542B51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939" w:rsidRDefault="004E0939">
      <w:bookmarkStart w:id="0" w:name="_GoBack"/>
      <w:bookmarkEnd w:id="0"/>
    </w:p>
    <w:sectPr w:rsidR="004E093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Yu Gothic U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51"/>
    <w:rsid w:val="004E0939"/>
    <w:rsid w:val="0054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C7370-1A34-4529-B0D4-95F6B1500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B51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B51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B51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B51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B51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B51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542B5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42B51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542B51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542B51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542B51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character" w:styleId="a3">
    <w:name w:val="Hyperlink"/>
    <w:basedOn w:val="a0"/>
    <w:uiPriority w:val="99"/>
    <w:unhideWhenUsed/>
    <w:qFormat/>
    <w:rsid w:val="00542B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ometheus.org.ua/prometheus-free/information-hygiene-during-wa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metheus.org.ua/prometheus-free/ukraine-road-to-eu/" TargetMode="External"/><Relationship Id="rId5" Type="http://schemas.openxmlformats.org/officeDocument/2006/relationships/hyperlink" Target="https://prometheus.org.ua/prometheus-free/international-registries/" TargetMode="External"/><Relationship Id="rId4" Type="http://schemas.openxmlformats.org/officeDocument/2006/relationships/hyperlink" Target="https://moodle.znu.edu.ua/pluginfile.php/1178861/mod_resource/content/1/%D0%9C%D0%BE%D0%BD%D0%BE%D0%B3%D1%80%D0%B0%D1%84%D1%96%D1%8F%202021%2C%20%D0%A3%D0%BA%D1%80%20%281%29%20%282%29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2025-01-29T04:35:00Z</dcterms:created>
  <dcterms:modified xsi:type="dcterms:W3CDTF">2025-01-29T04:36:00Z</dcterms:modified>
</cp:coreProperties>
</file>