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1B" w:rsidRDefault="0040131B" w:rsidP="0040131B">
      <w:pPr>
        <w:pStyle w:val="a6"/>
        <w:pageBreakBefore/>
        <w:spacing w:after="0"/>
        <w:ind w:right="-108" w:firstLine="1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4: Роман Панаса Мирного та Івана Білика </w:t>
      </w: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Хіба ревуть воли, як ясла повні?</w:t>
      </w: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:rsidR="0040131B" w:rsidRPr="001B2AFD" w:rsidRDefault="0040131B" w:rsidP="0040131B">
      <w:pPr>
        <w:pStyle w:val="a6"/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1. </w:t>
      </w:r>
      <w:bookmarkStart w:id="0" w:name="_GoBack"/>
      <w:bookmarkEnd w:id="0"/>
      <w:r w:rsidRPr="001B2AFD">
        <w:rPr>
          <w:rFonts w:ascii="Times New Roman" w:hAnsi="Times New Roman" w:cs="Times New Roman"/>
          <w:sz w:val="28"/>
          <w:szCs w:val="28"/>
          <w:lang w:val="uk-UA"/>
        </w:rPr>
        <w:t>Жанрово-тематичне багатство художнього літературного доробку Панаса Мирного.</w:t>
      </w:r>
    </w:p>
    <w:p w:rsidR="0040131B" w:rsidRPr="001B2AFD" w:rsidRDefault="0040131B" w:rsidP="0040131B">
      <w:pPr>
        <w:spacing w:after="0" w:line="240" w:lineRule="auto"/>
        <w:ind w:left="314" w:right="-108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2. Жанрова специфіка художнього твору „Хіба ревуть воли, як ясла повні? ”</w:t>
      </w:r>
    </w:p>
    <w:p w:rsidR="0040131B" w:rsidRPr="001B2AFD" w:rsidRDefault="0040131B" w:rsidP="0040131B">
      <w:pPr>
        <w:pStyle w:val="a6"/>
        <w:tabs>
          <w:tab w:val="left" w:pos="360"/>
        </w:tabs>
        <w:spacing w:after="0"/>
        <w:ind w:left="314" w:right="-108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Часопросторові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параметри твору.</w:t>
      </w:r>
    </w:p>
    <w:p w:rsidR="0040131B" w:rsidRPr="001B2AFD" w:rsidRDefault="0040131B" w:rsidP="0040131B">
      <w:pPr>
        <w:pStyle w:val="a6"/>
        <w:tabs>
          <w:tab w:val="left" w:pos="360"/>
        </w:tabs>
        <w:spacing w:after="0"/>
        <w:ind w:left="314" w:right="-108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4. Психологізм роману.</w:t>
      </w:r>
    </w:p>
    <w:p w:rsidR="0040131B" w:rsidRPr="001B2AFD" w:rsidRDefault="0040131B" w:rsidP="0040131B">
      <w:pPr>
        <w:pStyle w:val="a6"/>
        <w:tabs>
          <w:tab w:val="left" w:pos="360"/>
        </w:tabs>
        <w:spacing w:after="0"/>
        <w:ind w:left="314" w:right="-108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5. Сюжетно-композиційні особливості.</w:t>
      </w:r>
    </w:p>
    <w:p w:rsidR="0040131B" w:rsidRPr="001B2AFD" w:rsidRDefault="0040131B" w:rsidP="0040131B">
      <w:pPr>
        <w:pStyle w:val="a6"/>
        <w:tabs>
          <w:tab w:val="left" w:pos="360"/>
        </w:tabs>
        <w:spacing w:after="0"/>
        <w:ind w:left="314" w:right="-108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6. Проблематика твору.</w:t>
      </w:r>
    </w:p>
    <w:p w:rsidR="0040131B" w:rsidRPr="001B2AFD" w:rsidRDefault="0040131B" w:rsidP="0040131B">
      <w:pPr>
        <w:spacing w:after="0" w:line="240" w:lineRule="auto"/>
        <w:ind w:left="314" w:right="-108" w:hanging="284"/>
        <w:rPr>
          <w:rFonts w:ascii="Times New Roman" w:hAnsi="Times New Roman" w:cs="Times New Roman"/>
          <w:lang w:val="uk-UA"/>
        </w:rPr>
      </w:pPr>
    </w:p>
    <w:p w:rsidR="0040131B" w:rsidRPr="00425B73" w:rsidRDefault="0040131B" w:rsidP="0040131B">
      <w:pPr>
        <w:spacing w:after="0" w:line="240" w:lineRule="auto"/>
        <w:ind w:right="-108" w:firstLine="3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40131B" w:rsidRPr="00425B73" w:rsidRDefault="0040131B" w:rsidP="0040131B">
      <w:pPr>
        <w:spacing w:after="0" w:line="240" w:lineRule="auto"/>
        <w:ind w:right="-108" w:firstLine="3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40131B" w:rsidRPr="001B2AFD" w:rsidRDefault="0040131B" w:rsidP="0040131B">
      <w:pPr>
        <w:pStyle w:val="a5"/>
        <w:numPr>
          <w:ilvl w:val="0"/>
          <w:numId w:val="1"/>
        </w:numPr>
        <w:tabs>
          <w:tab w:val="left" w:pos="455"/>
        </w:tabs>
        <w:spacing w:after="0" w:line="240" w:lineRule="auto"/>
        <w:ind w:left="314" w:right="-108" w:hanging="314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Майдан О. Панас Мирний.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1B2AFD">
        <w:rPr>
          <w:rFonts w:ascii="Times New Roman" w:hAnsi="Times New Roman"/>
          <w:sz w:val="28"/>
          <w:szCs w:val="28"/>
          <w:lang w:val="uk-UA"/>
        </w:rPr>
        <w:br/>
        <w:t xml:space="preserve">у 2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 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/ за ред. акад. М. Г. Жулинського. Київ : Либідь, 2006.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2. С. 433–435.</w:t>
      </w:r>
    </w:p>
    <w:p w:rsidR="0040131B" w:rsidRDefault="0040131B" w:rsidP="0040131B">
      <w:pPr>
        <w:pStyle w:val="a5"/>
        <w:numPr>
          <w:ilvl w:val="0"/>
          <w:numId w:val="1"/>
        </w:numPr>
        <w:tabs>
          <w:tab w:val="left" w:pos="455"/>
        </w:tabs>
        <w:spacing w:after="0" w:line="240" w:lineRule="auto"/>
        <w:ind w:left="314" w:right="-108" w:hanging="314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Майдан О. Панас Мирний.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літератури. ХІХ століття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 : </w:t>
      </w:r>
      <w:r w:rsidRPr="001B2AFD">
        <w:rPr>
          <w:rFonts w:ascii="Times New Roman" w:hAnsi="Times New Roman"/>
          <w:sz w:val="28"/>
          <w:szCs w:val="28"/>
          <w:lang w:val="uk-UA"/>
        </w:rPr>
        <w:br/>
        <w:t xml:space="preserve">у 3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/ за ред. М. Т. Яценка. Київ : Либідь, 1997.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3. С. 154–155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0131B" w:rsidRDefault="0040131B" w:rsidP="0040131B">
      <w:pPr>
        <w:pStyle w:val="a5"/>
        <w:numPr>
          <w:ilvl w:val="0"/>
          <w:numId w:val="1"/>
        </w:numPr>
        <w:tabs>
          <w:tab w:val="left" w:pos="455"/>
        </w:tabs>
        <w:spacing w:after="0" w:line="240" w:lineRule="auto"/>
        <w:ind w:left="314" w:right="-108" w:hanging="314"/>
        <w:jc w:val="both"/>
        <w:rPr>
          <w:rFonts w:ascii="Times New Roman" w:hAnsi="Times New Roman"/>
          <w:sz w:val="28"/>
          <w:szCs w:val="28"/>
          <w:lang w:val="uk-UA"/>
        </w:rPr>
      </w:pPr>
      <w:r w:rsidRPr="00410368">
        <w:rPr>
          <w:rFonts w:ascii="Times New Roman" w:hAnsi="Times New Roman"/>
          <w:sz w:val="28"/>
          <w:szCs w:val="28"/>
          <w:lang w:val="uk-UA"/>
        </w:rPr>
        <w:t xml:space="preserve">Панас Мирний. </w:t>
      </w:r>
      <w:r w:rsidRPr="00410368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 : у 2 </w:t>
      </w: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 xml:space="preserve">. : </w:t>
      </w: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>. / за ред. О. Д. </w:t>
      </w: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Гнідан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>. 1. С. 351–358</w:t>
      </w:r>
    </w:p>
    <w:p w:rsidR="0040131B" w:rsidRPr="00410368" w:rsidRDefault="0040131B" w:rsidP="0040131B">
      <w:pPr>
        <w:pStyle w:val="a5"/>
        <w:numPr>
          <w:ilvl w:val="0"/>
          <w:numId w:val="1"/>
        </w:numPr>
        <w:tabs>
          <w:tab w:val="left" w:pos="455"/>
        </w:tabs>
        <w:spacing w:after="0" w:line="240" w:lineRule="auto"/>
        <w:ind w:left="314" w:right="-108" w:hanging="31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література”; галузі знань 03 Гуманітарні науки, спеціальності 035 Філологія, освітньої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література”. Луцьк: Терен, 2021. </w:t>
      </w:r>
      <w:r>
        <w:rPr>
          <w:rFonts w:ascii="Times New Roman" w:hAnsi="Times New Roman"/>
          <w:sz w:val="28"/>
          <w:szCs w:val="28"/>
          <w:lang w:val="uk-UA"/>
        </w:rPr>
        <w:t>С. 31–33</w:t>
      </w:r>
      <w:r w:rsidRPr="00410368">
        <w:rPr>
          <w:rFonts w:ascii="Times New Roman" w:hAnsi="Times New Roman"/>
          <w:sz w:val="28"/>
          <w:szCs w:val="28"/>
          <w:lang w:val="uk-UA"/>
        </w:rPr>
        <w:t>.</w:t>
      </w:r>
    </w:p>
    <w:p w:rsidR="0040131B" w:rsidRPr="001B2AFD" w:rsidRDefault="0040131B" w:rsidP="0040131B">
      <w:pPr>
        <w:spacing w:after="0" w:line="240" w:lineRule="auto"/>
        <w:ind w:right="-108" w:firstLine="30"/>
        <w:rPr>
          <w:rFonts w:ascii="Times New Roman" w:hAnsi="Times New Roman" w:cs="Times New Roman"/>
          <w:sz w:val="28"/>
          <w:szCs w:val="28"/>
          <w:lang w:val="uk-UA"/>
        </w:rPr>
      </w:pPr>
    </w:p>
    <w:p w:rsidR="0040131B" w:rsidRPr="00425B73" w:rsidRDefault="0040131B" w:rsidP="0040131B">
      <w:pPr>
        <w:pStyle w:val="a6"/>
        <w:tabs>
          <w:tab w:val="left" w:pos="0"/>
        </w:tabs>
        <w:spacing w:after="0"/>
        <w:ind w:right="-108" w:firstLine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40131B" w:rsidRPr="001B2AFD" w:rsidRDefault="0040131B" w:rsidP="0040131B">
      <w:pPr>
        <w:pStyle w:val="a6"/>
        <w:numPr>
          <w:ilvl w:val="0"/>
          <w:numId w:val="2"/>
        </w:numPr>
        <w:tabs>
          <w:tab w:val="left" w:pos="455"/>
        </w:tabs>
        <w:spacing w:after="0"/>
        <w:ind w:left="454" w:right="-108" w:hanging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Ільницький О. Конфлікт між козацьким і селянським світоглядом у романі „Хіба ревуть воли, як ясла повні?”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1990. №4. С. 50–57.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Ковдя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С. Новаторство Панаса Мирного у створенні системи персонажів.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Українська література в загальноосвітній школі</w:t>
      </w:r>
      <w:r w:rsidRPr="001B2AFD">
        <w:rPr>
          <w:rFonts w:ascii="Times New Roman" w:hAnsi="Times New Roman"/>
          <w:sz w:val="28"/>
          <w:szCs w:val="28"/>
          <w:lang w:val="uk-UA"/>
        </w:rPr>
        <w:t>. 2003. № 5. С. 8–10.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Майдан О. Психологічні спостереження Панаса Мирного в жанрі роману.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/>
          <w:sz w:val="28"/>
          <w:szCs w:val="28"/>
          <w:lang w:val="uk-UA"/>
        </w:rPr>
        <w:t>. 1999. № 10. С. 28–32.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Михальчук О. Об</w:t>
      </w:r>
      <w:r w:rsidRPr="001B2AFD">
        <w:rPr>
          <w:rFonts w:ascii="Times New Roman" w:hAnsi="Times New Roman"/>
          <w:sz w:val="28"/>
          <w:szCs w:val="28"/>
        </w:rPr>
        <w:t>’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єктивний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тип романного мислення: (Роман “Хіба ревуть воли, як ясла повні?).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/>
          <w:sz w:val="28"/>
          <w:szCs w:val="28"/>
          <w:lang w:val="uk-UA"/>
        </w:rPr>
        <w:t>. 1994. № 4–5. С. 22–26.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Починок Л. „Світ правди і любові”: християнський вектор життєтворчості Панаса Мирного.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Науковий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вісник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Міжнародного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гуманітарного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університету</w:t>
      </w:r>
      <w:proofErr w:type="spellEnd"/>
      <w:r w:rsidRPr="001B2AFD">
        <w:rPr>
          <w:rFonts w:ascii="Times New Roman" w:hAnsi="Times New Roman"/>
          <w:sz w:val="28"/>
          <w:szCs w:val="28"/>
        </w:rPr>
        <w:t>. Сер</w:t>
      </w:r>
      <w:proofErr w:type="gramStart"/>
      <w:r w:rsidRPr="001B2AFD">
        <w:rPr>
          <w:rFonts w:ascii="Times New Roman" w:hAnsi="Times New Roman"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Філологія</w:t>
      </w:r>
      <w:proofErr w:type="spellEnd"/>
      <w:r w:rsidRPr="001B2AFD">
        <w:rPr>
          <w:rFonts w:ascii="Times New Roman" w:hAnsi="Times New Roman"/>
          <w:sz w:val="28"/>
          <w:szCs w:val="28"/>
        </w:rPr>
        <w:t>. 2021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№ 50</w:t>
      </w:r>
      <w:r w:rsidRPr="001B2AFD">
        <w:rPr>
          <w:rFonts w:ascii="Times New Roman" w:hAnsi="Times New Roman"/>
          <w:sz w:val="28"/>
          <w:szCs w:val="28"/>
          <w:lang w:val="uk-UA"/>
        </w:rPr>
        <w:t>,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Т.</w:t>
      </w:r>
      <w:r w:rsidRPr="001B2AFD">
        <w:rPr>
          <w:rFonts w:ascii="Times New Roman" w:hAnsi="Times New Roman"/>
          <w:sz w:val="28"/>
          <w:szCs w:val="28"/>
        </w:rPr>
        <w:t xml:space="preserve"> 2</w:t>
      </w:r>
      <w:r w:rsidRPr="001B2AFD">
        <w:rPr>
          <w:rFonts w:ascii="Times New Roman" w:hAnsi="Times New Roman"/>
          <w:sz w:val="28"/>
          <w:szCs w:val="28"/>
          <w:lang w:val="uk-UA"/>
        </w:rPr>
        <w:t>. С. 46–50.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>Сізова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К. Особливості зображення людини у творах Панаса Мирного. URL: https://tractatus.sumdu.edu.ua/Arhiv/2007-1/14.pdf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Ушкалов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 </w:t>
      </w:r>
      <w:proofErr w:type="spellStart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Творча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історія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роману </w:t>
      </w:r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proofErr w:type="spellStart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Хіба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ревуть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воли, як </w:t>
      </w:r>
      <w:proofErr w:type="spellStart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ясла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повні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” </w:t>
      </w:r>
      <w:r w:rsidRPr="001B2AF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Слово і Час</w:t>
      </w:r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2019. №</w:t>
      </w:r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С. 3</w:t>
      </w:r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1B2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</w:rPr>
        <w:t xml:space="preserve">Хачатурян К. </w:t>
      </w:r>
      <w:proofErr w:type="spellStart"/>
      <w:r w:rsidRPr="001B2AFD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просторово-часової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роману </w:t>
      </w:r>
      <w:proofErr w:type="spellStart"/>
      <w:r w:rsidRPr="001B2AFD">
        <w:rPr>
          <w:rFonts w:ascii="Times New Roman" w:hAnsi="Times New Roman"/>
          <w:sz w:val="28"/>
          <w:szCs w:val="28"/>
        </w:rPr>
        <w:t>Панаса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Мирного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proofErr w:type="spellStart"/>
      <w:r w:rsidRPr="001B2AFD">
        <w:rPr>
          <w:rFonts w:ascii="Times New Roman" w:hAnsi="Times New Roman"/>
          <w:sz w:val="28"/>
          <w:szCs w:val="28"/>
        </w:rPr>
        <w:t>Хіба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ревуть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воли, як </w:t>
      </w:r>
      <w:proofErr w:type="spellStart"/>
      <w:r w:rsidRPr="001B2AFD">
        <w:rPr>
          <w:rFonts w:ascii="Times New Roman" w:hAnsi="Times New Roman"/>
          <w:sz w:val="28"/>
          <w:szCs w:val="28"/>
        </w:rPr>
        <w:t>ясла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повні</w:t>
      </w:r>
      <w:proofErr w:type="spellEnd"/>
      <w:r w:rsidRPr="001B2AFD">
        <w:rPr>
          <w:rFonts w:ascii="Times New Roman" w:hAnsi="Times New Roman"/>
          <w:sz w:val="28"/>
          <w:szCs w:val="28"/>
        </w:rPr>
        <w:t>?”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Актуальні питання гуманітарних наук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Міжвузівський збірник наукових праць молодих вчених Дрогобицького державного педагогічного університету ім. </w:t>
      </w:r>
      <w:r w:rsidRPr="001B2AFD">
        <w:rPr>
          <w:rFonts w:ascii="Times New Roman" w:hAnsi="Times New Roman"/>
          <w:sz w:val="28"/>
          <w:szCs w:val="28"/>
        </w:rPr>
        <w:t xml:space="preserve">І. Франка. 2020. </w:t>
      </w:r>
      <w:proofErr w:type="spellStart"/>
      <w:r w:rsidRPr="001B2AFD">
        <w:rPr>
          <w:rFonts w:ascii="Times New Roman" w:hAnsi="Times New Roman"/>
          <w:sz w:val="28"/>
          <w:szCs w:val="28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34.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Том 5. </w:t>
      </w:r>
      <w:r w:rsidRPr="001B2AFD">
        <w:rPr>
          <w:rFonts w:ascii="Times New Roman" w:hAnsi="Times New Roman"/>
          <w:sz w:val="28"/>
          <w:szCs w:val="28"/>
        </w:rPr>
        <w:t>С.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 xml:space="preserve">146–152. </w:t>
      </w:r>
    </w:p>
    <w:p w:rsidR="0040131B" w:rsidRPr="001B2AFD" w:rsidRDefault="0040131B" w:rsidP="0040131B">
      <w:pPr>
        <w:pStyle w:val="a5"/>
        <w:numPr>
          <w:ilvl w:val="0"/>
          <w:numId w:val="2"/>
        </w:numPr>
        <w:tabs>
          <w:tab w:val="left" w:pos="455"/>
        </w:tabs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Черкаський В. Художній світ Панаса Мирного. К. : Дніпро, 1989. С. 59–187.</w:t>
      </w:r>
    </w:p>
    <w:p w:rsidR="0040131B" w:rsidRPr="001B2AFD" w:rsidRDefault="0040131B" w:rsidP="0040131B">
      <w:pPr>
        <w:pStyle w:val="a6"/>
        <w:numPr>
          <w:ilvl w:val="0"/>
          <w:numId w:val="2"/>
        </w:numPr>
        <w:tabs>
          <w:tab w:val="left" w:pos="179"/>
          <w:tab w:val="left" w:pos="455"/>
        </w:tabs>
        <w:spacing w:after="0"/>
        <w:ind w:left="454" w:right="-108" w:hanging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Янковська Ж. Національно-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концептний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простір у романі Панаса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>Мирного “Хіба ревуть воли, як ясла повні?: паралельне прочитання (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топос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“Дім”). </w:t>
      </w:r>
      <w:proofErr w:type="spellStart"/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Studia</w:t>
      </w:r>
      <w:proofErr w:type="spellEnd"/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ukrainica</w:t>
      </w:r>
      <w:proofErr w:type="spellEnd"/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posnaniensia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2019. Т. 7., № 1. URL: https://doi.org/10.14746/sup.2019.7.1.19</w:t>
      </w:r>
    </w:p>
    <w:p w:rsidR="0040131B" w:rsidRDefault="0040131B" w:rsidP="0040131B">
      <w:pPr>
        <w:pStyle w:val="a6"/>
        <w:tabs>
          <w:tab w:val="left" w:pos="360"/>
        </w:tabs>
        <w:spacing w:after="0"/>
        <w:ind w:right="-1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131B" w:rsidRPr="00425B73" w:rsidRDefault="0040131B" w:rsidP="0040131B">
      <w:pPr>
        <w:pStyle w:val="a6"/>
        <w:tabs>
          <w:tab w:val="left" w:pos="360"/>
        </w:tabs>
        <w:spacing w:after="0"/>
        <w:ind w:right="-108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40131B" w:rsidRPr="001B2AFD" w:rsidRDefault="0040131B" w:rsidP="0040131B">
      <w:pPr>
        <w:pStyle w:val="a3"/>
        <w:ind w:right="-108" w:firstLine="739"/>
        <w:jc w:val="both"/>
      </w:pPr>
      <w:r w:rsidRPr="001B2AFD">
        <w:t>Підготовку до практичного заняття радимо почати з уважного прочитання роману Панаса Мирного та Івана Білика „Хіба ревуть воли, як ясла повні?» Обов’язково повторіть теоретичний матеріал, це допоможе вам осягнути глибину твору, правильно проаналізувати і структурувати матеріал. Терміни „жанр”, „роман”, „соціально-психологічний роман”, „фабула”, „композиція”, „оповідь”, „</w:t>
      </w:r>
      <w:proofErr w:type="spellStart"/>
      <w:r w:rsidRPr="001B2AFD">
        <w:t>нарація</w:t>
      </w:r>
      <w:proofErr w:type="spellEnd"/>
      <w:r w:rsidRPr="001B2AFD">
        <w:t>”, „</w:t>
      </w:r>
      <w:proofErr w:type="spellStart"/>
      <w:r w:rsidRPr="001B2AFD">
        <w:t>хронотоп</w:t>
      </w:r>
      <w:proofErr w:type="spellEnd"/>
      <w:r w:rsidRPr="001B2AFD">
        <w:t xml:space="preserve">”, „образ”, „персонаж”, „сюжет”, „композиція”, „реалізм”, „розповідач”, „проблема” тощо – поняття, якими ви будете оперувати в ході відповіді, розкриваючи </w:t>
      </w:r>
      <w:proofErr w:type="spellStart"/>
      <w:r w:rsidRPr="001B2AFD">
        <w:t>поетикальні</w:t>
      </w:r>
      <w:proofErr w:type="spellEnd"/>
      <w:r w:rsidRPr="001B2AFD">
        <w:t xml:space="preserve"> особливості роману Панаса Мирного та Івана Білика „Хіба ревуть воли, як ясла повні?”. Для переконливості звертайтеся до тексту роману, думок літературознавців, які досліджували твір. Не забувайте, що твір написано у співавторстві, а отже, стильова манера, способи реалізації творчих завдань тощо різняться.</w:t>
      </w:r>
    </w:p>
    <w:p w:rsidR="0040131B" w:rsidRDefault="0040131B" w:rsidP="0040131B">
      <w:pPr>
        <w:pStyle w:val="a3"/>
        <w:ind w:right="-108" w:firstLine="739"/>
        <w:jc w:val="both"/>
      </w:pPr>
      <w:r w:rsidRPr="001B2AFD">
        <w:t xml:space="preserve">Перше питання плану передбачає ознайомлення з творчістю Панаса Мирного загалом. Лекція, відповідні розділи підручників, праці М. Грицая, В. Черкаського та інших науковців, а також твори зі списку літератури для обов’язкового прочитання допоможуть підготуватися до цього питання. Належному рівню аналізу решти питань плану сприятимуть не лише актуалізація і поглиблення знань із теорії </w:t>
      </w:r>
      <w:proofErr w:type="spellStart"/>
      <w:r w:rsidRPr="001B2AFD">
        <w:t>літературозначої</w:t>
      </w:r>
      <w:proofErr w:type="spellEnd"/>
      <w:r w:rsidRPr="001B2AFD">
        <w:t xml:space="preserve"> науки, а й глибоке занурення в поетику художнього твору, роздуми над ним. Для цього радимо ознайомитися з рекомендованою літературою, поданою в основному й додатковому списках. Проте вітається й ширша обсервація наукової рецепції роману Панаса Мирного та Івана Білика „Хіба ревуть воли, як ясла повні?”</w:t>
      </w:r>
    </w:p>
    <w:p w:rsidR="0040131B" w:rsidRPr="001B2AFD" w:rsidRDefault="0040131B" w:rsidP="0040131B">
      <w:pPr>
        <w:pStyle w:val="a3"/>
        <w:ind w:right="-108" w:firstLine="739"/>
        <w:jc w:val="both"/>
      </w:pPr>
    </w:p>
    <w:p w:rsidR="00304B89" w:rsidRPr="0040131B" w:rsidRDefault="00304B89">
      <w:pPr>
        <w:rPr>
          <w:lang w:val="uk-UA"/>
        </w:rPr>
      </w:pPr>
    </w:p>
    <w:sectPr w:rsidR="00304B89" w:rsidRPr="004013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1042"/>
    <w:multiLevelType w:val="hybridMultilevel"/>
    <w:tmpl w:val="C292D7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47BF8"/>
    <w:multiLevelType w:val="hybridMultilevel"/>
    <w:tmpl w:val="52FAB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D8"/>
    <w:rsid w:val="00304B89"/>
    <w:rsid w:val="0040131B"/>
    <w:rsid w:val="00B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3367"/>
  <w15:chartTrackingRefBased/>
  <w15:docId w15:val="{DA187A86-DABA-4A8C-91D2-D089FB4C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0131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40131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4013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6">
    <w:name w:val="Subtitle"/>
    <w:basedOn w:val="a"/>
    <w:link w:val="a7"/>
    <w:uiPriority w:val="99"/>
    <w:qFormat/>
    <w:rsid w:val="0040131B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rsid w:val="0040131B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2025-01-21T21:46:00Z</dcterms:created>
  <dcterms:modified xsi:type="dcterms:W3CDTF">2025-01-21T21:48:00Z</dcterms:modified>
</cp:coreProperties>
</file>