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BD" w:rsidRPr="001D4260" w:rsidRDefault="00A350BD" w:rsidP="00A350BD">
      <w:pPr>
        <w:pStyle w:val="1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proofErr w:type="gramStart"/>
      <w:r w:rsidRPr="001D4260">
        <w:rPr>
          <w:rFonts w:ascii="Times New Roman" w:hAnsi="Times New Roman"/>
          <w:sz w:val="28"/>
          <w:szCs w:val="28"/>
        </w:rPr>
        <w:t>ПЕРЕЛІК  ПИТАНЬ</w:t>
      </w:r>
      <w:proofErr w:type="gramEnd"/>
      <w:r w:rsidRPr="001D4260">
        <w:rPr>
          <w:rFonts w:ascii="Times New Roman" w:hAnsi="Times New Roman"/>
          <w:sz w:val="28"/>
          <w:szCs w:val="28"/>
        </w:rPr>
        <w:t xml:space="preserve"> ДЛЯ КОНТРОЛЮ</w:t>
      </w:r>
    </w:p>
    <w:p w:rsidR="00C847E9" w:rsidRPr="001D4260" w:rsidRDefault="00C847E9" w:rsidP="00C847E9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 Філософські основи ренесансного антропоцентризму, основні  принципи Ренесансу. </w:t>
      </w:r>
    </w:p>
    <w:p w:rsidR="00C847E9" w:rsidRPr="001D4260" w:rsidRDefault="00C847E9" w:rsidP="00C847E9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«Божественна комедія» Данте як підсумок словесної художньої культури Середньовіччя і як передвісниця літератури Відродження.</w:t>
      </w:r>
    </w:p>
    <w:p w:rsidR="00C847E9" w:rsidRPr="001D4260" w:rsidRDefault="00C847E9" w:rsidP="00C847E9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Розмаїття змісту «Божественної комедії» Данте: </w:t>
      </w:r>
      <w:proofErr w:type="spellStart"/>
      <w:r w:rsidRPr="001D4260">
        <w:rPr>
          <w:sz w:val="28"/>
          <w:szCs w:val="28"/>
          <w:lang w:val="uk-UA"/>
        </w:rPr>
        <w:t>моральнорелігійний</w:t>
      </w:r>
      <w:proofErr w:type="spellEnd"/>
      <w:r w:rsidRPr="001D4260">
        <w:rPr>
          <w:sz w:val="28"/>
          <w:szCs w:val="28"/>
          <w:lang w:val="uk-UA"/>
        </w:rPr>
        <w:t xml:space="preserve">, історико-політичний, біографічний.  </w:t>
      </w:r>
    </w:p>
    <w:p w:rsidR="00C847E9" w:rsidRPr="001D4260" w:rsidRDefault="00C847E9" w:rsidP="00C847E9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«Божественна комедія» Данте: жанр, композиція, символіка, алегоричність. </w:t>
      </w:r>
    </w:p>
    <w:p w:rsidR="00C847E9" w:rsidRPr="001D4260" w:rsidRDefault="00C847E9" w:rsidP="00C847E9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Лірична збірка Данте «Нове життя», її побудова, жанрова своєрідність. </w:t>
      </w:r>
    </w:p>
    <w:p w:rsidR="00C847E9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 Головні проблеми трактатів Данте «Бенкет» і «Про народне красномовство». </w:t>
      </w:r>
    </w:p>
    <w:p w:rsidR="00C847E9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 </w:t>
      </w:r>
      <w:proofErr w:type="spellStart"/>
      <w:r w:rsidRPr="001D4260">
        <w:rPr>
          <w:sz w:val="28"/>
          <w:szCs w:val="28"/>
          <w:lang w:val="uk-UA"/>
        </w:rPr>
        <w:t>Франческо</w:t>
      </w:r>
      <w:proofErr w:type="spellEnd"/>
      <w:r w:rsidRPr="001D4260">
        <w:rPr>
          <w:sz w:val="28"/>
          <w:szCs w:val="28"/>
          <w:lang w:val="uk-UA"/>
        </w:rPr>
        <w:t xml:space="preserve"> Петрарка,  ренесансні риси його особистості, провідні мотиви його творчості. </w:t>
      </w:r>
    </w:p>
    <w:p w:rsidR="00C847E9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Збірка ліричних поезій Петрарки «</w:t>
      </w:r>
      <w:proofErr w:type="spellStart"/>
      <w:r w:rsidRPr="001D4260">
        <w:rPr>
          <w:sz w:val="28"/>
          <w:szCs w:val="28"/>
          <w:lang w:val="uk-UA"/>
        </w:rPr>
        <w:t>Канцоньєре</w:t>
      </w:r>
      <w:proofErr w:type="spellEnd"/>
      <w:r w:rsidRPr="001D4260">
        <w:rPr>
          <w:sz w:val="28"/>
          <w:szCs w:val="28"/>
          <w:lang w:val="uk-UA"/>
        </w:rPr>
        <w:t xml:space="preserve">», її гуманістичний зміст, особливості поетичної майстерності, прекрасне і загальнолюдське в образі Лаури. </w:t>
      </w:r>
    </w:p>
    <w:p w:rsidR="00C847E9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Жанрова особливість збірки новел Боккаччо «Декамерон», суть назви твору, сюжетне обрамлення і його ідейно-художнє призначення. </w:t>
      </w:r>
    </w:p>
    <w:p w:rsidR="00C847E9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Головні теми новел «Декамерона», охоплення реальної дійсності в них. </w:t>
      </w:r>
    </w:p>
    <w:p w:rsidR="00BA4C94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Творчість Франсуа Війона як </w:t>
      </w:r>
      <w:proofErr w:type="spellStart"/>
      <w:r w:rsidRPr="001D4260">
        <w:rPr>
          <w:sz w:val="28"/>
          <w:szCs w:val="28"/>
          <w:lang w:val="uk-UA"/>
        </w:rPr>
        <w:t>передренесанс</w:t>
      </w:r>
      <w:proofErr w:type="spellEnd"/>
      <w:r w:rsidRPr="001D4260">
        <w:rPr>
          <w:sz w:val="28"/>
          <w:szCs w:val="28"/>
          <w:lang w:val="uk-UA"/>
        </w:rPr>
        <w:t xml:space="preserve"> французької літератури («Малий заповіт», «Великий заповіт»). </w:t>
      </w:r>
    </w:p>
    <w:p w:rsidR="00BA4C94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lastRenderedPageBreak/>
        <w:t xml:space="preserve"> «</w:t>
      </w:r>
      <w:proofErr w:type="spellStart"/>
      <w:r w:rsidRPr="001D4260">
        <w:rPr>
          <w:sz w:val="28"/>
          <w:szCs w:val="28"/>
          <w:lang w:val="uk-UA"/>
        </w:rPr>
        <w:t>Гаргантюа</w:t>
      </w:r>
      <w:proofErr w:type="spellEnd"/>
      <w:r w:rsidRPr="001D4260">
        <w:rPr>
          <w:sz w:val="28"/>
          <w:szCs w:val="28"/>
          <w:lang w:val="uk-UA"/>
        </w:rPr>
        <w:t xml:space="preserve"> і </w:t>
      </w:r>
      <w:proofErr w:type="spellStart"/>
      <w:r w:rsidRPr="001D4260">
        <w:rPr>
          <w:sz w:val="28"/>
          <w:szCs w:val="28"/>
          <w:lang w:val="uk-UA"/>
        </w:rPr>
        <w:t>Пантагрюель</w:t>
      </w:r>
      <w:proofErr w:type="spellEnd"/>
      <w:r w:rsidRPr="001D4260">
        <w:rPr>
          <w:sz w:val="28"/>
          <w:szCs w:val="28"/>
          <w:lang w:val="uk-UA"/>
        </w:rPr>
        <w:t xml:space="preserve">» Франсуа Рабле: жанр і композиція, система образів, гуманістична проблематика  твору. </w:t>
      </w:r>
    </w:p>
    <w:p w:rsidR="00BA4C94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Сутність «</w:t>
      </w:r>
      <w:proofErr w:type="spellStart"/>
      <w:r w:rsidRPr="001D4260">
        <w:rPr>
          <w:sz w:val="28"/>
          <w:szCs w:val="28"/>
          <w:lang w:val="uk-UA"/>
        </w:rPr>
        <w:t>раблезіанського</w:t>
      </w:r>
      <w:proofErr w:type="spellEnd"/>
      <w:r w:rsidRPr="001D4260">
        <w:rPr>
          <w:sz w:val="28"/>
          <w:szCs w:val="28"/>
          <w:lang w:val="uk-UA"/>
        </w:rPr>
        <w:t xml:space="preserve"> сміху», об’єкти висміювання в романі «</w:t>
      </w:r>
      <w:proofErr w:type="spellStart"/>
      <w:r w:rsidRPr="001D4260">
        <w:rPr>
          <w:sz w:val="28"/>
          <w:szCs w:val="28"/>
          <w:lang w:val="uk-UA"/>
        </w:rPr>
        <w:t>Гаргантюа</w:t>
      </w:r>
      <w:proofErr w:type="spellEnd"/>
      <w:r w:rsidRPr="001D4260">
        <w:rPr>
          <w:sz w:val="28"/>
          <w:szCs w:val="28"/>
          <w:lang w:val="uk-UA"/>
        </w:rPr>
        <w:t xml:space="preserve"> і </w:t>
      </w:r>
      <w:proofErr w:type="spellStart"/>
      <w:r w:rsidRPr="001D4260">
        <w:rPr>
          <w:sz w:val="28"/>
          <w:szCs w:val="28"/>
          <w:lang w:val="uk-UA"/>
        </w:rPr>
        <w:t>Пантагрюель</w:t>
      </w:r>
      <w:proofErr w:type="spellEnd"/>
      <w:r w:rsidRPr="001D4260">
        <w:rPr>
          <w:sz w:val="28"/>
          <w:szCs w:val="28"/>
          <w:lang w:val="uk-UA"/>
        </w:rPr>
        <w:t xml:space="preserve">». </w:t>
      </w:r>
    </w:p>
    <w:p w:rsidR="00BA4C94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«Похвала </w:t>
      </w:r>
      <w:proofErr w:type="spellStart"/>
      <w:r w:rsidRPr="001D4260">
        <w:rPr>
          <w:sz w:val="28"/>
          <w:szCs w:val="28"/>
          <w:lang w:val="uk-UA"/>
        </w:rPr>
        <w:t>Глупоті</w:t>
      </w:r>
      <w:proofErr w:type="spellEnd"/>
      <w:r w:rsidRPr="001D4260">
        <w:rPr>
          <w:sz w:val="28"/>
          <w:szCs w:val="28"/>
          <w:lang w:val="uk-UA"/>
        </w:rPr>
        <w:t xml:space="preserve">» Еразма </w:t>
      </w:r>
      <w:proofErr w:type="spellStart"/>
      <w:r w:rsidRPr="001D4260">
        <w:rPr>
          <w:sz w:val="28"/>
          <w:szCs w:val="28"/>
          <w:lang w:val="uk-UA"/>
        </w:rPr>
        <w:t>Роттердамського</w:t>
      </w:r>
      <w:proofErr w:type="spellEnd"/>
      <w:r w:rsidRPr="001D4260">
        <w:rPr>
          <w:sz w:val="28"/>
          <w:szCs w:val="28"/>
          <w:lang w:val="uk-UA"/>
        </w:rPr>
        <w:t xml:space="preserve"> як своєрідна енциклопедія тогочасної дійсності, провідні </w:t>
      </w:r>
      <w:proofErr w:type="spellStart"/>
      <w:r w:rsidRPr="001D4260">
        <w:rPr>
          <w:sz w:val="28"/>
          <w:szCs w:val="28"/>
          <w:lang w:val="uk-UA"/>
        </w:rPr>
        <w:t>філософсько</w:t>
      </w:r>
      <w:proofErr w:type="spellEnd"/>
      <w:r w:rsidRPr="001D4260">
        <w:rPr>
          <w:sz w:val="28"/>
          <w:szCs w:val="28"/>
          <w:lang w:val="uk-UA"/>
        </w:rPr>
        <w:t xml:space="preserve">-моральні  мотиви твору. </w:t>
      </w:r>
    </w:p>
    <w:p w:rsidR="00BA4C94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«Дон Кіхот» Сервантеса: історія напи</w:t>
      </w:r>
      <w:r w:rsidR="00BA4C94" w:rsidRPr="001D4260">
        <w:rPr>
          <w:sz w:val="28"/>
          <w:szCs w:val="28"/>
          <w:lang w:val="uk-UA"/>
        </w:rPr>
        <w:t>сання твору, жанр, композиція</w:t>
      </w:r>
    </w:p>
    <w:p w:rsidR="00BA4C94" w:rsidRPr="001D4260" w:rsidRDefault="00BA4C94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«</w:t>
      </w:r>
      <w:r w:rsidR="00C847E9" w:rsidRPr="001D4260">
        <w:rPr>
          <w:sz w:val="28"/>
          <w:szCs w:val="28"/>
          <w:lang w:val="uk-UA"/>
        </w:rPr>
        <w:t xml:space="preserve">Дон Кіхот і Санчо </w:t>
      </w:r>
      <w:proofErr w:type="spellStart"/>
      <w:r w:rsidR="00C847E9" w:rsidRPr="001D4260">
        <w:rPr>
          <w:sz w:val="28"/>
          <w:szCs w:val="28"/>
          <w:lang w:val="uk-UA"/>
        </w:rPr>
        <w:t>Панса</w:t>
      </w:r>
      <w:proofErr w:type="spellEnd"/>
      <w:r w:rsidR="00C847E9" w:rsidRPr="001D4260">
        <w:rPr>
          <w:sz w:val="28"/>
          <w:szCs w:val="28"/>
          <w:lang w:val="uk-UA"/>
        </w:rPr>
        <w:t xml:space="preserve">: спільне і подібне, проблема сутності людини, внутрішній світ героїв. </w:t>
      </w:r>
    </w:p>
    <w:p w:rsidR="00BA4C94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 </w:t>
      </w:r>
      <w:proofErr w:type="spellStart"/>
      <w:r w:rsidRPr="001D4260">
        <w:rPr>
          <w:sz w:val="28"/>
          <w:szCs w:val="28"/>
          <w:lang w:val="uk-UA"/>
        </w:rPr>
        <w:t>Передренесансні</w:t>
      </w:r>
      <w:proofErr w:type="spellEnd"/>
      <w:r w:rsidRPr="001D4260">
        <w:rPr>
          <w:sz w:val="28"/>
          <w:szCs w:val="28"/>
          <w:lang w:val="uk-UA"/>
        </w:rPr>
        <w:t xml:space="preserve"> процеси в культурі Англії («Кентерберійські оповідання» </w:t>
      </w:r>
      <w:proofErr w:type="spellStart"/>
      <w:r w:rsidRPr="001D4260">
        <w:rPr>
          <w:sz w:val="28"/>
          <w:szCs w:val="28"/>
          <w:lang w:val="uk-UA"/>
        </w:rPr>
        <w:t>Джефрі</w:t>
      </w:r>
      <w:proofErr w:type="spellEnd"/>
      <w:r w:rsidRPr="001D4260">
        <w:rPr>
          <w:sz w:val="28"/>
          <w:szCs w:val="28"/>
          <w:lang w:val="uk-UA"/>
        </w:rPr>
        <w:t xml:space="preserve"> </w:t>
      </w:r>
      <w:proofErr w:type="spellStart"/>
      <w:r w:rsidRPr="001D4260">
        <w:rPr>
          <w:sz w:val="28"/>
          <w:szCs w:val="28"/>
          <w:lang w:val="uk-UA"/>
        </w:rPr>
        <w:t>Чосера</w:t>
      </w:r>
      <w:proofErr w:type="spellEnd"/>
      <w:r w:rsidRPr="001D4260">
        <w:rPr>
          <w:sz w:val="28"/>
          <w:szCs w:val="28"/>
          <w:lang w:val="uk-UA"/>
        </w:rPr>
        <w:t>).</w:t>
      </w:r>
    </w:p>
    <w:p w:rsidR="00BA4C94" w:rsidRPr="001D4260" w:rsidRDefault="00BA4C94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 </w:t>
      </w:r>
      <w:r w:rsidR="00C847E9" w:rsidRPr="001D4260">
        <w:rPr>
          <w:sz w:val="28"/>
          <w:szCs w:val="28"/>
          <w:lang w:val="uk-UA"/>
        </w:rPr>
        <w:t xml:space="preserve"> «Утопія» Томаса Мора та її вплив на розвиток жанру утопії в літературі доби Відродження.  </w:t>
      </w:r>
    </w:p>
    <w:p w:rsidR="00BA4C94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Вільям Шекспір як людина і автор: творчий доробок, жанрове</w:t>
      </w:r>
      <w:r w:rsidR="00BA4C94" w:rsidRPr="001D4260">
        <w:rPr>
          <w:sz w:val="28"/>
          <w:szCs w:val="28"/>
          <w:lang w:val="uk-UA"/>
        </w:rPr>
        <w:t xml:space="preserve"> розмаїття, хронологія творів. </w:t>
      </w:r>
    </w:p>
    <w:p w:rsidR="00BA4C94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Сонети Шекспіра: художня майстерність, теми митця, дружби і кохання в сонетному циклі. </w:t>
      </w:r>
    </w:p>
    <w:p w:rsidR="00BA4C94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Художня своєрідність комедій Шекспіра («Приборкання непокірної», «Сон літньої ночі», «Дванадцята ніч»). </w:t>
      </w:r>
    </w:p>
    <w:p w:rsidR="00BA4C94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Шекспір-трагік, особливості трагедії «Ромео і Джульєтта»: система образів, основні проблеми, фінал.  </w:t>
      </w:r>
    </w:p>
    <w:p w:rsidR="00BA4C94" w:rsidRPr="001D4260" w:rsidRDefault="00C847E9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Трагедія «Гамлет» як початок вищого етапу шекспірівської трагедії: сюжет, проблематика,  композиція, система образів. </w:t>
      </w:r>
    </w:p>
    <w:p w:rsidR="00C847E9" w:rsidRPr="001D4260" w:rsidRDefault="00BA4C94" w:rsidP="002C75F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lastRenderedPageBreak/>
        <w:t xml:space="preserve"> </w:t>
      </w:r>
      <w:proofErr w:type="spellStart"/>
      <w:r w:rsidR="00C847E9" w:rsidRPr="001D4260">
        <w:rPr>
          <w:sz w:val="28"/>
          <w:szCs w:val="28"/>
          <w:lang w:val="uk-UA"/>
        </w:rPr>
        <w:t>Філософсько</w:t>
      </w:r>
      <w:proofErr w:type="spellEnd"/>
      <w:r w:rsidR="00C847E9" w:rsidRPr="001D4260">
        <w:rPr>
          <w:sz w:val="28"/>
          <w:szCs w:val="28"/>
          <w:lang w:val="uk-UA"/>
        </w:rPr>
        <w:t xml:space="preserve">-моральні  мотиви трагедій  Шекспіра «Гамлет», «Отелло», «Макбет», «Король Лір» (один твір на вибір). 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en-US"/>
        </w:rPr>
        <w:t>XVII</w:t>
      </w:r>
      <w:r w:rsidRPr="001D4260">
        <w:rPr>
          <w:sz w:val="28"/>
          <w:szCs w:val="28"/>
        </w:rPr>
        <w:t xml:space="preserve"> </w:t>
      </w:r>
      <w:r w:rsidRPr="001D4260">
        <w:rPr>
          <w:sz w:val="28"/>
          <w:szCs w:val="28"/>
          <w:lang w:val="uk-UA"/>
        </w:rPr>
        <w:t xml:space="preserve">ст. особлива епоха в європейській культурі. Основні напрямки в літературі </w:t>
      </w:r>
      <w:r w:rsidRPr="001D4260">
        <w:rPr>
          <w:sz w:val="28"/>
          <w:szCs w:val="28"/>
          <w:lang w:val="en-US"/>
        </w:rPr>
        <w:t>XVII</w:t>
      </w:r>
      <w:r w:rsidRPr="001D4260">
        <w:rPr>
          <w:sz w:val="28"/>
          <w:szCs w:val="28"/>
        </w:rPr>
        <w:t xml:space="preserve"> </w:t>
      </w:r>
      <w:r w:rsidRPr="001D4260">
        <w:rPr>
          <w:sz w:val="28"/>
          <w:szCs w:val="28"/>
          <w:lang w:val="uk-UA"/>
        </w:rPr>
        <w:t>ст.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Доля ренесансного реалізму в нових історичних умовах. Демократизм драматургії Лопе де Вега (“</w:t>
      </w:r>
      <w:proofErr w:type="spellStart"/>
      <w:r w:rsidRPr="001D4260">
        <w:rPr>
          <w:sz w:val="28"/>
          <w:szCs w:val="28"/>
          <w:lang w:val="uk-UA"/>
        </w:rPr>
        <w:t>Фуенте</w:t>
      </w:r>
      <w:proofErr w:type="spellEnd"/>
      <w:r w:rsidRPr="001D4260">
        <w:rPr>
          <w:sz w:val="28"/>
          <w:szCs w:val="28"/>
          <w:lang w:val="uk-UA"/>
        </w:rPr>
        <w:t xml:space="preserve"> </w:t>
      </w:r>
      <w:proofErr w:type="spellStart"/>
      <w:r w:rsidRPr="001D4260">
        <w:rPr>
          <w:sz w:val="28"/>
          <w:szCs w:val="28"/>
          <w:lang w:val="uk-UA"/>
        </w:rPr>
        <w:t>Овехуна</w:t>
      </w:r>
      <w:proofErr w:type="spellEnd"/>
      <w:r w:rsidRPr="001D4260">
        <w:rPr>
          <w:sz w:val="28"/>
          <w:szCs w:val="28"/>
          <w:lang w:val="uk-UA"/>
        </w:rPr>
        <w:t>”).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Класицизм його еволюція в літературі Франції.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Естетична програма класицизму в “Поетичному мистецтві” </w:t>
      </w:r>
      <w:proofErr w:type="spellStart"/>
      <w:r w:rsidRPr="001D4260">
        <w:rPr>
          <w:sz w:val="28"/>
          <w:szCs w:val="28"/>
          <w:lang w:val="uk-UA"/>
        </w:rPr>
        <w:t>Н.Буало</w:t>
      </w:r>
      <w:proofErr w:type="spellEnd"/>
      <w:r w:rsidRPr="001D4260">
        <w:rPr>
          <w:sz w:val="28"/>
          <w:szCs w:val="28"/>
          <w:lang w:val="uk-UA"/>
        </w:rPr>
        <w:t>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Проблема почуття та </w:t>
      </w:r>
      <w:proofErr w:type="spellStart"/>
      <w:r w:rsidRPr="001D4260">
        <w:rPr>
          <w:sz w:val="28"/>
          <w:szCs w:val="28"/>
          <w:lang w:val="uk-UA"/>
        </w:rPr>
        <w:t>обов</w:t>
      </w:r>
      <w:proofErr w:type="spellEnd"/>
      <w:r w:rsidRPr="001D4260">
        <w:rPr>
          <w:sz w:val="28"/>
          <w:szCs w:val="28"/>
        </w:rPr>
        <w:t>’</w:t>
      </w:r>
      <w:proofErr w:type="spellStart"/>
      <w:r w:rsidRPr="001D4260">
        <w:rPr>
          <w:sz w:val="28"/>
          <w:szCs w:val="28"/>
          <w:lang w:val="uk-UA"/>
        </w:rPr>
        <w:t>язку</w:t>
      </w:r>
      <w:proofErr w:type="spellEnd"/>
      <w:r w:rsidRPr="001D4260">
        <w:rPr>
          <w:sz w:val="28"/>
          <w:szCs w:val="28"/>
          <w:lang w:val="uk-UA"/>
        </w:rPr>
        <w:t xml:space="preserve"> в трагедії </w:t>
      </w:r>
      <w:proofErr w:type="spellStart"/>
      <w:r w:rsidRPr="001D4260">
        <w:rPr>
          <w:sz w:val="28"/>
          <w:szCs w:val="28"/>
          <w:lang w:val="uk-UA"/>
        </w:rPr>
        <w:t>П.Корнеля</w:t>
      </w:r>
      <w:proofErr w:type="spellEnd"/>
      <w:r w:rsidRPr="001D4260">
        <w:rPr>
          <w:sz w:val="28"/>
          <w:szCs w:val="28"/>
          <w:lang w:val="uk-UA"/>
        </w:rPr>
        <w:t xml:space="preserve"> “</w:t>
      </w:r>
      <w:proofErr w:type="spellStart"/>
      <w:r w:rsidRPr="001D4260">
        <w:rPr>
          <w:sz w:val="28"/>
          <w:szCs w:val="28"/>
          <w:lang w:val="uk-UA"/>
        </w:rPr>
        <w:t>Сід</w:t>
      </w:r>
      <w:proofErr w:type="spellEnd"/>
      <w:r w:rsidRPr="001D4260">
        <w:rPr>
          <w:sz w:val="28"/>
          <w:szCs w:val="28"/>
          <w:lang w:val="uk-UA"/>
        </w:rPr>
        <w:t>”.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Психологізм </w:t>
      </w:r>
      <w:proofErr w:type="spellStart"/>
      <w:r w:rsidRPr="001D4260">
        <w:rPr>
          <w:sz w:val="28"/>
          <w:szCs w:val="28"/>
          <w:lang w:val="uk-UA"/>
        </w:rPr>
        <w:t>Ж.Расіна</w:t>
      </w:r>
      <w:proofErr w:type="spellEnd"/>
      <w:r w:rsidRPr="001D4260">
        <w:rPr>
          <w:sz w:val="28"/>
          <w:szCs w:val="28"/>
          <w:lang w:val="uk-UA"/>
        </w:rPr>
        <w:t>-драматурга.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“Висока комедія” в творчості Ж.-Б. Мольєра. Мольєр і класицизм.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Бароко в мистецтві та літературі </w:t>
      </w:r>
      <w:r w:rsidRPr="001D4260">
        <w:rPr>
          <w:sz w:val="28"/>
          <w:szCs w:val="28"/>
          <w:lang w:val="en-US"/>
        </w:rPr>
        <w:t>XVII</w:t>
      </w:r>
      <w:r w:rsidRPr="001D4260">
        <w:rPr>
          <w:sz w:val="28"/>
          <w:szCs w:val="28"/>
        </w:rPr>
        <w:t xml:space="preserve"> </w:t>
      </w:r>
      <w:r w:rsidRPr="001D4260">
        <w:rPr>
          <w:sz w:val="28"/>
          <w:szCs w:val="28"/>
          <w:lang w:val="uk-UA"/>
        </w:rPr>
        <w:t>ст.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Концепція світу в трагедії П. Кальдерона “Життя є сон”.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Барочні тенденції в поемі </w:t>
      </w:r>
      <w:proofErr w:type="spellStart"/>
      <w:r w:rsidRPr="001D4260">
        <w:rPr>
          <w:sz w:val="28"/>
          <w:szCs w:val="28"/>
          <w:lang w:val="uk-UA"/>
        </w:rPr>
        <w:t>Д.Мільтона</w:t>
      </w:r>
      <w:proofErr w:type="spellEnd"/>
      <w:r w:rsidRPr="001D4260">
        <w:rPr>
          <w:sz w:val="28"/>
          <w:szCs w:val="28"/>
          <w:lang w:val="uk-UA"/>
        </w:rPr>
        <w:t xml:space="preserve"> “Втрачений рай”.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Просвітництво – провідна лінія розвитку європейської культури </w:t>
      </w:r>
      <w:r w:rsidRPr="001D4260">
        <w:rPr>
          <w:sz w:val="28"/>
          <w:szCs w:val="28"/>
          <w:lang w:val="en-US"/>
        </w:rPr>
        <w:t>XVII</w:t>
      </w:r>
      <w:r w:rsidRPr="001D4260">
        <w:rPr>
          <w:sz w:val="28"/>
          <w:szCs w:val="28"/>
          <w:lang w:val="uk-UA"/>
        </w:rPr>
        <w:t>І ст. Літературні напрямки Просвітництва. Основні жанри літератури Просвітництва.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Ідейно-художня своєрідність роману </w:t>
      </w:r>
      <w:proofErr w:type="spellStart"/>
      <w:r w:rsidRPr="001D4260">
        <w:rPr>
          <w:sz w:val="28"/>
          <w:szCs w:val="28"/>
          <w:lang w:val="uk-UA"/>
        </w:rPr>
        <w:t>Д.Дефо</w:t>
      </w:r>
      <w:proofErr w:type="spellEnd"/>
      <w:r w:rsidRPr="001D4260">
        <w:rPr>
          <w:sz w:val="28"/>
          <w:szCs w:val="28"/>
          <w:lang w:val="uk-UA"/>
        </w:rPr>
        <w:t xml:space="preserve"> “Робінзон Крузо”, місце роману у світовій пригодницькій літературі.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lastRenderedPageBreak/>
        <w:t xml:space="preserve">Сатира і фантастика в романі </w:t>
      </w:r>
      <w:proofErr w:type="spellStart"/>
      <w:r w:rsidRPr="001D4260">
        <w:rPr>
          <w:sz w:val="28"/>
          <w:szCs w:val="28"/>
          <w:lang w:val="uk-UA"/>
        </w:rPr>
        <w:t>Дж.Свіфта</w:t>
      </w:r>
      <w:proofErr w:type="spellEnd"/>
      <w:r w:rsidRPr="001D4260">
        <w:rPr>
          <w:sz w:val="28"/>
          <w:szCs w:val="28"/>
          <w:lang w:val="uk-UA"/>
        </w:rPr>
        <w:t xml:space="preserve"> “Мандри </w:t>
      </w:r>
      <w:proofErr w:type="spellStart"/>
      <w:r w:rsidRPr="001D4260">
        <w:rPr>
          <w:sz w:val="28"/>
          <w:szCs w:val="28"/>
          <w:lang w:val="uk-UA"/>
        </w:rPr>
        <w:t>Гуллівера</w:t>
      </w:r>
      <w:proofErr w:type="spellEnd"/>
      <w:r w:rsidRPr="001D4260">
        <w:rPr>
          <w:sz w:val="28"/>
          <w:szCs w:val="28"/>
          <w:lang w:val="uk-UA"/>
        </w:rPr>
        <w:t>”.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Концепція особистості в романі </w:t>
      </w:r>
      <w:proofErr w:type="spellStart"/>
      <w:r w:rsidRPr="001D4260">
        <w:rPr>
          <w:sz w:val="28"/>
          <w:szCs w:val="28"/>
          <w:lang w:val="uk-UA"/>
        </w:rPr>
        <w:t>Г.Філдінга</w:t>
      </w:r>
      <w:proofErr w:type="spellEnd"/>
      <w:r w:rsidRPr="001D4260">
        <w:rPr>
          <w:sz w:val="28"/>
          <w:szCs w:val="28"/>
          <w:lang w:val="uk-UA"/>
        </w:rPr>
        <w:t xml:space="preserve"> “Історія Тома Джонса, знайди”.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Доведення до абсурду принципів просвітницького роману в творчості </w:t>
      </w:r>
      <w:proofErr w:type="spellStart"/>
      <w:r w:rsidRPr="001D4260">
        <w:rPr>
          <w:sz w:val="28"/>
          <w:szCs w:val="28"/>
          <w:lang w:val="uk-UA"/>
        </w:rPr>
        <w:t>Л.Стерна</w:t>
      </w:r>
      <w:proofErr w:type="spellEnd"/>
      <w:r w:rsidRPr="001D4260">
        <w:rPr>
          <w:sz w:val="28"/>
          <w:szCs w:val="28"/>
          <w:lang w:val="uk-UA"/>
        </w:rPr>
        <w:t>. Психологізм в романах Стерна.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Народність поезії </w:t>
      </w:r>
      <w:proofErr w:type="spellStart"/>
      <w:r w:rsidRPr="001D4260">
        <w:rPr>
          <w:sz w:val="28"/>
          <w:szCs w:val="28"/>
          <w:lang w:val="uk-UA"/>
        </w:rPr>
        <w:t>Р.Бернса</w:t>
      </w:r>
      <w:proofErr w:type="spellEnd"/>
      <w:r w:rsidRPr="001D4260">
        <w:rPr>
          <w:sz w:val="28"/>
          <w:szCs w:val="28"/>
          <w:lang w:val="uk-UA"/>
        </w:rPr>
        <w:t>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Історична місія французьких просвітителів </w:t>
      </w:r>
      <w:r w:rsidRPr="001D4260">
        <w:rPr>
          <w:sz w:val="28"/>
          <w:szCs w:val="28"/>
          <w:lang w:val="en-US"/>
        </w:rPr>
        <w:t>XVII</w:t>
      </w:r>
      <w:r w:rsidRPr="001D4260">
        <w:rPr>
          <w:sz w:val="28"/>
          <w:szCs w:val="28"/>
        </w:rPr>
        <w:t xml:space="preserve">І </w:t>
      </w:r>
      <w:r w:rsidRPr="001D4260">
        <w:rPr>
          <w:sz w:val="28"/>
          <w:szCs w:val="28"/>
          <w:lang w:val="uk-UA"/>
        </w:rPr>
        <w:t>ст.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Особливості просвітительського реалізму Вольтера. Філософська повість в творчості Вольтера.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proofErr w:type="spellStart"/>
      <w:r w:rsidRPr="001D4260">
        <w:rPr>
          <w:sz w:val="28"/>
          <w:szCs w:val="28"/>
          <w:lang w:val="uk-UA"/>
        </w:rPr>
        <w:t>Д.Дідро</w:t>
      </w:r>
      <w:proofErr w:type="spellEnd"/>
      <w:r w:rsidRPr="001D4260">
        <w:rPr>
          <w:sz w:val="28"/>
          <w:szCs w:val="28"/>
          <w:lang w:val="uk-UA"/>
        </w:rPr>
        <w:t xml:space="preserve"> як теоретик мистецтва. Ідейна та жанрова своєрідність твору “Черниця”.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Культ почуття та апологія “природньої людини” в творі Жан Жака Руссо “Юлія, або Нова </w:t>
      </w:r>
      <w:proofErr w:type="spellStart"/>
      <w:r w:rsidRPr="001D4260">
        <w:rPr>
          <w:sz w:val="28"/>
          <w:szCs w:val="28"/>
          <w:lang w:val="uk-UA"/>
        </w:rPr>
        <w:t>Елоїза</w:t>
      </w:r>
      <w:proofErr w:type="spellEnd"/>
      <w:r w:rsidRPr="001D4260">
        <w:rPr>
          <w:sz w:val="28"/>
          <w:szCs w:val="28"/>
          <w:lang w:val="uk-UA"/>
        </w:rPr>
        <w:t>”.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>Лессінг як засновник Просвітництва в Німеччині.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proofErr w:type="spellStart"/>
      <w:r w:rsidRPr="001D4260">
        <w:rPr>
          <w:sz w:val="28"/>
          <w:szCs w:val="28"/>
          <w:lang w:val="uk-UA"/>
        </w:rPr>
        <w:t>Штюрмерство</w:t>
      </w:r>
      <w:proofErr w:type="spellEnd"/>
      <w:r w:rsidRPr="001D4260">
        <w:rPr>
          <w:sz w:val="28"/>
          <w:szCs w:val="28"/>
          <w:lang w:val="uk-UA"/>
        </w:rPr>
        <w:t xml:space="preserve"> як національно-просвітницький рух у Німеччині.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Трагедія Гете “Фауст” як синтез філософських та художніх пошуків </w:t>
      </w:r>
      <w:r w:rsidRPr="001D4260">
        <w:rPr>
          <w:sz w:val="28"/>
          <w:szCs w:val="28"/>
          <w:lang w:val="en-US"/>
        </w:rPr>
        <w:t>XVII</w:t>
      </w:r>
      <w:r w:rsidRPr="001D4260">
        <w:rPr>
          <w:sz w:val="28"/>
          <w:szCs w:val="28"/>
          <w:lang w:val="uk-UA"/>
        </w:rPr>
        <w:t>І ст.</w:t>
      </w:r>
    </w:p>
    <w:p w:rsidR="00A350BD" w:rsidRPr="001D4260" w:rsidRDefault="00A350BD" w:rsidP="00A350BD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D4260">
        <w:rPr>
          <w:sz w:val="28"/>
          <w:szCs w:val="28"/>
          <w:lang w:val="uk-UA"/>
        </w:rPr>
        <w:t xml:space="preserve">Особливості драматургії </w:t>
      </w:r>
      <w:proofErr w:type="spellStart"/>
      <w:r w:rsidRPr="001D4260">
        <w:rPr>
          <w:sz w:val="28"/>
          <w:szCs w:val="28"/>
          <w:lang w:val="uk-UA"/>
        </w:rPr>
        <w:t>Ф.Шіллера</w:t>
      </w:r>
      <w:proofErr w:type="spellEnd"/>
      <w:r w:rsidRPr="001D4260">
        <w:rPr>
          <w:sz w:val="28"/>
          <w:szCs w:val="28"/>
          <w:lang w:val="uk-UA"/>
        </w:rPr>
        <w:t>.</w:t>
      </w:r>
    </w:p>
    <w:bookmarkEnd w:id="0"/>
    <w:p w:rsidR="00A350BD" w:rsidRDefault="00A350BD" w:rsidP="00A350BD">
      <w:pPr>
        <w:rPr>
          <w:sz w:val="22"/>
          <w:szCs w:val="22"/>
          <w:lang w:val="uk-UA"/>
        </w:rPr>
      </w:pPr>
    </w:p>
    <w:p w:rsidR="00A350BD" w:rsidRDefault="00A350BD" w:rsidP="00A350BD">
      <w:pPr>
        <w:rPr>
          <w:sz w:val="22"/>
          <w:szCs w:val="22"/>
          <w:lang w:val="uk-UA"/>
        </w:rPr>
      </w:pPr>
    </w:p>
    <w:p w:rsidR="00A350BD" w:rsidRDefault="00A350BD" w:rsidP="00A350BD">
      <w:pPr>
        <w:rPr>
          <w:sz w:val="28"/>
          <w:lang w:val="uk-UA"/>
        </w:rPr>
      </w:pPr>
    </w:p>
    <w:p w:rsidR="00A350BD" w:rsidRPr="00A05F60" w:rsidRDefault="00A350BD" w:rsidP="00A350BD">
      <w:pPr>
        <w:spacing w:line="360" w:lineRule="auto"/>
        <w:rPr>
          <w:color w:val="000000"/>
          <w:sz w:val="22"/>
          <w:szCs w:val="22"/>
          <w:lang w:val="uk-UA"/>
        </w:rPr>
      </w:pPr>
    </w:p>
    <w:p w:rsidR="00041EFB" w:rsidRDefault="00041EFB"/>
    <w:sectPr w:rsidR="00041EFB" w:rsidSect="00262653">
      <w:pgSz w:w="8392" w:h="11907" w:code="11"/>
      <w:pgMar w:top="1134" w:right="851" w:bottom="1134" w:left="851" w:header="567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34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09"/>
    <w:rsid w:val="00041EFB"/>
    <w:rsid w:val="001D4260"/>
    <w:rsid w:val="009A4209"/>
    <w:rsid w:val="00A350BD"/>
    <w:rsid w:val="00BA4C94"/>
    <w:rsid w:val="00C847E9"/>
    <w:rsid w:val="00EC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ACB89"/>
  <w15:chartTrackingRefBased/>
  <w15:docId w15:val="{EE017874-4057-4F24-BADA-885657B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0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350BD"/>
    <w:pPr>
      <w:keepNext/>
      <w:spacing w:before="240" w:after="60"/>
      <w:jc w:val="center"/>
      <w:outlineLvl w:val="0"/>
    </w:pPr>
    <w:rPr>
      <w:rFonts w:ascii="Arial" w:hAnsi="Arial"/>
      <w:b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0BD"/>
    <w:rPr>
      <w:rFonts w:ascii="Arial" w:eastAsia="Times New Roman" w:hAnsi="Arial" w:cs="Times New Roman"/>
      <w:b/>
      <w:kern w:val="28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539</Words>
  <Characters>3543</Characters>
  <Application>Microsoft Office Word</Application>
  <DocSecurity>0</DocSecurity>
  <Lines>95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2025-01-26T14:57:00Z</dcterms:created>
  <dcterms:modified xsi:type="dcterms:W3CDTF">2025-01-26T18:02:00Z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678c53c7fb99dc31b4f16b02c5bfd7751335db668f2db6a3cb8f2ad81ef3d1ca</vt:lpwstr>
  </property>
</Properties>
</file>