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BB0D" w14:textId="77777777" w:rsidR="00242A20" w:rsidRPr="00242A20" w:rsidRDefault="00242A20" w:rsidP="00242A20">
      <w:pPr>
        <w:keepNext/>
        <w:keepLines/>
        <w:spacing w:after="14" w:line="259" w:lineRule="auto"/>
        <w:ind w:left="10" w:right="56" w:hanging="10"/>
        <w:jc w:val="center"/>
        <w:outlineLvl w:val="1"/>
        <w:rPr>
          <w:rFonts w:ascii="Times New Roman" w:eastAsia="Times New Roman" w:hAnsi="Times New Roman" w:cs="Times New Roman"/>
          <w:b/>
          <w:i/>
          <w:color w:val="000000"/>
          <w:sz w:val="22"/>
          <w:lang w:eastAsia="ru-RU"/>
        </w:rPr>
      </w:pPr>
      <w:r w:rsidRPr="00242A20">
        <w:rPr>
          <w:rFonts w:ascii="Times New Roman" w:eastAsia="Times New Roman" w:hAnsi="Times New Roman" w:cs="Times New Roman"/>
          <w:b/>
          <w:i/>
          <w:color w:val="000000"/>
          <w:sz w:val="22"/>
          <w:lang w:eastAsia="ru-RU"/>
        </w:rPr>
        <w:t xml:space="preserve">Лабораторна робота №3 </w:t>
      </w:r>
    </w:p>
    <w:p w14:paraId="0828C7B4" w14:textId="77777777" w:rsidR="00242A20" w:rsidRPr="00242A20" w:rsidRDefault="00242A20" w:rsidP="00242A20">
      <w:pPr>
        <w:spacing w:after="90" w:line="259" w:lineRule="auto"/>
        <w:ind w:right="15"/>
        <w:jc w:val="center"/>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16"/>
          <w:lang w:eastAsia="ru-RU"/>
        </w:rPr>
        <w:t xml:space="preserve"> </w:t>
      </w:r>
    </w:p>
    <w:p w14:paraId="1F820009" w14:textId="77777777" w:rsidR="00242A20" w:rsidRPr="00242A20" w:rsidRDefault="00242A20" w:rsidP="00242A20">
      <w:pPr>
        <w:spacing w:after="22" w:line="259" w:lineRule="auto"/>
        <w:ind w:left="322" w:right="373" w:hanging="10"/>
        <w:jc w:val="center"/>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b/>
          <w:color w:val="000000"/>
          <w:sz w:val="22"/>
          <w:lang w:eastAsia="ru-RU"/>
        </w:rPr>
        <w:t xml:space="preserve">ОСОБЛИВОСТІ ОРГАНІЗАЦІЇ СІВОЗМІН  </w:t>
      </w:r>
    </w:p>
    <w:p w14:paraId="59482339" w14:textId="77777777" w:rsidR="00242A20" w:rsidRPr="00242A20" w:rsidRDefault="00242A20" w:rsidP="00242A20">
      <w:pPr>
        <w:spacing w:after="53" w:line="259" w:lineRule="auto"/>
        <w:ind w:left="322" w:right="369" w:hanging="10"/>
        <w:jc w:val="center"/>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b/>
          <w:color w:val="000000"/>
          <w:sz w:val="22"/>
          <w:lang w:eastAsia="ru-RU"/>
        </w:rPr>
        <w:t xml:space="preserve">У СУЧАСНИХ РОЗСАДНИКАХ </w:t>
      </w:r>
    </w:p>
    <w:p w14:paraId="3F7C2643"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Під сівозміною розуміють науково обґрунтоване чергування культур в розсаднику, яке дозволяє, не знижуючи родючість ґрунту, вирощувати садивний матеріал. Роль попередника в розсадниках має надзвичайно велике значення, адже садивний матеріал вирощується на одному місці тривалий час, що призводить до накопичення специфічних бур‘янів, хвороб, ущільнення ґрунту, виносу поживних речовин, зменшення запасів вологи тощо. Крім того, разом з коренями саджанців з поля виноситься значна частина родючого ґрунту.  </w:t>
      </w:r>
    </w:p>
    <w:p w14:paraId="18D4A90A"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У зоні Полісся, де бідні грунти та надмірне зволоження, як попередник під час вирощування декоративних рослин зазвичай використовують сидеральний пар. Найчастіше це вирощування протягом 1-2 років однорічного або багаторічного люпину (іноді в суміші з фацелією). Як бобова рослина, люпин, завдяки симбіозу з бульбочковими бактеріями, які фіксують азот з повітря, накопичує в ґрунті органічний азот, який після мінералізації поступово використовується декоративними рослинами. Крім того, корені люпину, проникаючи на глибину до 2 м, мобілізують поживні речовини, вимиті в нижні горизонти опадами. Сидеральний пар передбачає вирощування зеленої маси люпину, яку влітку, прикочують котками, дискують і приорюють. Зазвичай після дискування на полі вносять органічні добрива: торф, гній, сапропель. Після ранньої оранки практикують боронування для знищення проростаючих бурянів. </w:t>
      </w:r>
    </w:p>
    <w:p w14:paraId="3165B029"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В зоні Лісостепу, де ґрунти характеризуються підвищеним вмістом поживних речовин і достатнім, але нерегулярним зволоженням, практикують використання зайнятого пару. Як зайняті-парові культури використовують бобові: горох, сою, багаторічні та однорічні бобові трави, урожай яких використовують за прямим призначенням. За вегетаційний період, завдяки симбіозу з бульбочковими бактеріями, в ґрунті накопичується до 80-120 кг/га загального азоту, який після мінералізації споживається рослинами. Крім того, зайнято-парові культури пригнічують ріст бур‘янів, покращують структуру грунту, пожвавлюють мікробіологічні процеси. </w:t>
      </w:r>
    </w:p>
    <w:p w14:paraId="2523F255"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В незрошуваних розсадниках Степу найбільш ефективним попередником вважається чорний пар. Цей попередник сприяє накопиченню в ґрунті вологи, знищенню бур‘янів та поліпшенню структури ґрунту. Зоране поле протягом вегетації боронують після дощів, за необхідності культивують або дискують. Такий відпочинк поля сприяє накопиченню вологи (до 30 мм), знищенню бурянів, структуризації та поліпшенню водно-фізичних властивостей грунту. </w:t>
      </w:r>
    </w:p>
    <w:p w14:paraId="6F146DC2"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У зрошуваних розсадниках Степу головним завданням попередника є недопущення засолення ґрунтів. З цією метою практикують вирощування протягом 1-2 вегетацій багаторічних або однорічних бобових або злакових трав: люцерни, еспарцету, однорічного пирію тощо, які накопичують в зеленій масі солі. Зелену масу використовують на зелений корм або сіно.  </w:t>
      </w:r>
    </w:p>
    <w:p w14:paraId="7DC3A53B"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b/>
          <w:i/>
          <w:color w:val="000000"/>
          <w:sz w:val="22"/>
          <w:lang w:eastAsia="ru-RU"/>
        </w:rPr>
        <w:t xml:space="preserve">Мета роботи – </w:t>
      </w:r>
      <w:r w:rsidRPr="00242A20">
        <w:rPr>
          <w:rFonts w:ascii="Times New Roman" w:eastAsia="Times New Roman" w:hAnsi="Times New Roman" w:cs="Times New Roman"/>
          <w:color w:val="000000"/>
          <w:sz w:val="22"/>
          <w:lang w:eastAsia="ru-RU"/>
        </w:rPr>
        <w:t xml:space="preserve">вивчити особливості організації та введення сівозмін під час вирощування декоративних рослин в різних ґрунтово-кліматичних зонах України, враховуючи асортимент вирощуваних культур. </w:t>
      </w:r>
    </w:p>
    <w:p w14:paraId="55A6CF14"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b/>
          <w:i/>
          <w:color w:val="000000"/>
          <w:sz w:val="22"/>
          <w:lang w:eastAsia="ru-RU"/>
        </w:rPr>
        <w:t xml:space="preserve">Завдання: </w:t>
      </w:r>
      <w:r w:rsidRPr="00242A20">
        <w:rPr>
          <w:rFonts w:ascii="Times New Roman" w:eastAsia="Times New Roman" w:hAnsi="Times New Roman" w:cs="Times New Roman"/>
          <w:color w:val="000000"/>
          <w:sz w:val="22"/>
          <w:lang w:eastAsia="ru-RU"/>
        </w:rPr>
        <w:t xml:space="preserve">1. Розробити схеми введення сівозмін відповідно до індивідуального завдання та скласти ротаційні таблиці. </w:t>
      </w:r>
    </w:p>
    <w:p w14:paraId="7B631BD6" w14:textId="77777777" w:rsidR="00242A20" w:rsidRPr="00242A20" w:rsidRDefault="00242A20" w:rsidP="00242A20">
      <w:pPr>
        <w:numPr>
          <w:ilvl w:val="0"/>
          <w:numId w:val="1"/>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Розрахувати кількість полів та загальну площу території, необхідної для вирощування певної кількості саджанців. </w:t>
      </w:r>
    </w:p>
    <w:p w14:paraId="242FDE53" w14:textId="77777777" w:rsidR="00242A20" w:rsidRPr="00242A20" w:rsidRDefault="00242A20" w:rsidP="00242A20">
      <w:pPr>
        <w:numPr>
          <w:ilvl w:val="0"/>
          <w:numId w:val="1"/>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Скласти технологічну карту вирощування однієї декоративної культури. </w:t>
      </w:r>
    </w:p>
    <w:p w14:paraId="5B70DA1C" w14:textId="77777777" w:rsidR="00242A20" w:rsidRPr="00242A20" w:rsidRDefault="00242A20" w:rsidP="00242A20">
      <w:pPr>
        <w:keepNext/>
        <w:keepLines/>
        <w:spacing w:after="14" w:line="259" w:lineRule="auto"/>
        <w:ind w:left="10" w:right="56" w:hanging="10"/>
        <w:jc w:val="center"/>
        <w:outlineLvl w:val="1"/>
        <w:rPr>
          <w:rFonts w:ascii="Times New Roman" w:eastAsia="Times New Roman" w:hAnsi="Times New Roman" w:cs="Times New Roman"/>
          <w:b/>
          <w:i/>
          <w:color w:val="000000"/>
          <w:sz w:val="22"/>
          <w:lang w:eastAsia="ru-RU"/>
        </w:rPr>
      </w:pPr>
      <w:r w:rsidRPr="00242A20">
        <w:rPr>
          <w:rFonts w:ascii="Times New Roman" w:eastAsia="Times New Roman" w:hAnsi="Times New Roman" w:cs="Times New Roman"/>
          <w:b/>
          <w:i/>
          <w:color w:val="000000"/>
          <w:sz w:val="22"/>
          <w:lang w:eastAsia="ru-RU"/>
        </w:rPr>
        <w:t xml:space="preserve">Хід роботи </w:t>
      </w:r>
    </w:p>
    <w:p w14:paraId="136C5AB6" w14:textId="65F4A9EE"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Ознайомившись зі своїм варіантом індивідуального завдання</w:t>
      </w:r>
      <w:r w:rsidR="00357649">
        <w:rPr>
          <w:rFonts w:ascii="Times New Roman" w:eastAsia="Times New Roman" w:hAnsi="Times New Roman" w:cs="Times New Roman"/>
          <w:color w:val="000000"/>
          <w:sz w:val="22"/>
          <w:lang w:eastAsia="ru-RU"/>
        </w:rPr>
        <w:t xml:space="preserve"> </w:t>
      </w:r>
      <w:r w:rsidRPr="00242A20">
        <w:rPr>
          <w:rFonts w:ascii="Times New Roman" w:eastAsia="Times New Roman" w:hAnsi="Times New Roman" w:cs="Times New Roman"/>
          <w:color w:val="000000"/>
          <w:sz w:val="22"/>
          <w:lang w:eastAsia="ru-RU"/>
        </w:rPr>
        <w:t xml:space="preserve"> студент має обґрунтувати сівозміни та скласти схеми їх введення. Ротаційні таблиці записують за формою табл. 8. </w:t>
      </w:r>
    </w:p>
    <w:p w14:paraId="3EE0B93B" w14:textId="77777777" w:rsidR="00242A20" w:rsidRPr="00242A20" w:rsidRDefault="00242A20" w:rsidP="00242A20">
      <w:pPr>
        <w:spacing w:after="81" w:line="259" w:lineRule="auto"/>
        <w:ind w:left="358"/>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12"/>
          <w:lang w:eastAsia="ru-RU"/>
        </w:rPr>
        <w:t xml:space="preserve"> </w:t>
      </w:r>
    </w:p>
    <w:p w14:paraId="24FD51C4" w14:textId="77777777" w:rsidR="00357649" w:rsidRDefault="00357649">
      <w:pPr>
        <w:rPr>
          <w:rFonts w:ascii="Times New Roman" w:eastAsia="Times New Roman" w:hAnsi="Times New Roman" w:cs="Times New Roman"/>
          <w:color w:val="000000"/>
          <w:sz w:val="18"/>
          <w:lang w:eastAsia="ru-RU"/>
        </w:rPr>
      </w:pPr>
      <w:r>
        <w:rPr>
          <w:rFonts w:ascii="Times New Roman" w:eastAsia="Times New Roman" w:hAnsi="Times New Roman" w:cs="Times New Roman"/>
          <w:color w:val="000000"/>
          <w:sz w:val="18"/>
          <w:lang w:eastAsia="ru-RU"/>
        </w:rPr>
        <w:br w:type="page"/>
      </w:r>
    </w:p>
    <w:p w14:paraId="4E2EE05A" w14:textId="5D65C9D8" w:rsidR="00242A20" w:rsidRPr="00242A20" w:rsidRDefault="00242A20" w:rsidP="00242A20">
      <w:pPr>
        <w:spacing w:after="4" w:line="271" w:lineRule="auto"/>
        <w:ind w:left="-5" w:hanging="10"/>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18"/>
          <w:lang w:eastAsia="ru-RU"/>
        </w:rPr>
        <w:lastRenderedPageBreak/>
        <w:t xml:space="preserve">Таблиця 8 – </w:t>
      </w:r>
      <w:r w:rsidRPr="00242A20">
        <w:rPr>
          <w:rFonts w:ascii="Times New Roman" w:eastAsia="Times New Roman" w:hAnsi="Times New Roman" w:cs="Times New Roman"/>
          <w:b/>
          <w:color w:val="000000"/>
          <w:sz w:val="18"/>
          <w:lang w:eastAsia="ru-RU"/>
        </w:rPr>
        <w:t>Ротаційна таблиця введення сівозміни</w:t>
      </w:r>
      <w:r w:rsidRPr="00242A20">
        <w:rPr>
          <w:rFonts w:ascii="Times New Roman" w:eastAsia="Times New Roman" w:hAnsi="Times New Roman" w:cs="Times New Roman"/>
          <w:color w:val="000000"/>
          <w:sz w:val="18"/>
          <w:lang w:eastAsia="ru-RU"/>
        </w:rPr>
        <w:t xml:space="preserve"> </w:t>
      </w:r>
    </w:p>
    <w:tbl>
      <w:tblPr>
        <w:tblStyle w:val="TableGrid"/>
        <w:tblW w:w="6376" w:type="dxa"/>
        <w:tblInd w:w="17" w:type="dxa"/>
        <w:tblCellMar>
          <w:top w:w="8" w:type="dxa"/>
          <w:left w:w="115" w:type="dxa"/>
          <w:right w:w="101" w:type="dxa"/>
        </w:tblCellMar>
        <w:tblLook w:val="04A0" w:firstRow="1" w:lastRow="0" w:firstColumn="1" w:lastColumn="0" w:noHBand="0" w:noVBand="1"/>
      </w:tblPr>
      <w:tblGrid>
        <w:gridCol w:w="1325"/>
        <w:gridCol w:w="1011"/>
        <w:gridCol w:w="1008"/>
        <w:gridCol w:w="1008"/>
        <w:gridCol w:w="1011"/>
        <w:gridCol w:w="1013"/>
      </w:tblGrid>
      <w:tr w:rsidR="00242A20" w:rsidRPr="00242A20" w14:paraId="1023AB1A" w14:textId="77777777" w:rsidTr="00531DF4">
        <w:trPr>
          <w:trHeight w:val="218"/>
        </w:trPr>
        <w:tc>
          <w:tcPr>
            <w:tcW w:w="1325" w:type="dxa"/>
            <w:vMerge w:val="restart"/>
            <w:tcBorders>
              <w:top w:val="single" w:sz="4" w:space="0" w:color="000000"/>
              <w:left w:val="single" w:sz="4" w:space="0" w:color="000000"/>
              <w:bottom w:val="single" w:sz="4" w:space="0" w:color="000000"/>
              <w:right w:val="single" w:sz="4" w:space="0" w:color="000000"/>
            </w:tcBorders>
          </w:tcPr>
          <w:p w14:paraId="7761C751" w14:textId="77777777" w:rsidR="00242A20" w:rsidRPr="00242A20" w:rsidRDefault="00242A20" w:rsidP="00242A20">
            <w:pPr>
              <w:spacing w:line="259" w:lineRule="auto"/>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Роки, вирощування </w:t>
            </w:r>
          </w:p>
        </w:tc>
        <w:tc>
          <w:tcPr>
            <w:tcW w:w="5051" w:type="dxa"/>
            <w:gridSpan w:val="5"/>
            <w:tcBorders>
              <w:top w:val="single" w:sz="4" w:space="0" w:color="000000"/>
              <w:left w:val="single" w:sz="4" w:space="0" w:color="000000"/>
              <w:bottom w:val="single" w:sz="4" w:space="0" w:color="000000"/>
              <w:right w:val="single" w:sz="4" w:space="0" w:color="000000"/>
            </w:tcBorders>
          </w:tcPr>
          <w:p w14:paraId="7D285A78" w14:textId="77777777" w:rsidR="00242A20" w:rsidRPr="00242A20" w:rsidRDefault="00242A20" w:rsidP="00242A20">
            <w:pPr>
              <w:spacing w:line="259" w:lineRule="auto"/>
              <w:ind w:right="2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Назва декоративної культури, що вирощується в полі № </w:t>
            </w:r>
          </w:p>
        </w:tc>
      </w:tr>
      <w:tr w:rsidR="00242A20" w:rsidRPr="00242A20" w14:paraId="31AC2244" w14:textId="77777777" w:rsidTr="00531DF4">
        <w:trPr>
          <w:trHeight w:val="216"/>
        </w:trPr>
        <w:tc>
          <w:tcPr>
            <w:tcW w:w="0" w:type="auto"/>
            <w:vMerge/>
            <w:tcBorders>
              <w:top w:val="nil"/>
              <w:left w:val="single" w:sz="4" w:space="0" w:color="000000"/>
              <w:bottom w:val="single" w:sz="4" w:space="0" w:color="000000"/>
              <w:right w:val="single" w:sz="4" w:space="0" w:color="000000"/>
            </w:tcBorders>
          </w:tcPr>
          <w:p w14:paraId="4367C183" w14:textId="77777777" w:rsidR="00242A20" w:rsidRPr="00242A20" w:rsidRDefault="00242A20" w:rsidP="00242A20">
            <w:pPr>
              <w:spacing w:line="259" w:lineRule="auto"/>
              <w:rPr>
                <w:rFonts w:ascii="Times New Roman" w:eastAsia="Times New Roman" w:hAnsi="Times New Roman" w:cs="Times New Roman"/>
                <w:color w:val="000000"/>
                <w:sz w:val="22"/>
              </w:rPr>
            </w:pPr>
          </w:p>
        </w:tc>
        <w:tc>
          <w:tcPr>
            <w:tcW w:w="1011" w:type="dxa"/>
            <w:tcBorders>
              <w:top w:val="single" w:sz="4" w:space="0" w:color="000000"/>
              <w:left w:val="single" w:sz="4" w:space="0" w:color="000000"/>
              <w:bottom w:val="single" w:sz="4" w:space="0" w:color="000000"/>
              <w:right w:val="single" w:sz="4" w:space="0" w:color="000000"/>
            </w:tcBorders>
          </w:tcPr>
          <w:p w14:paraId="7E7799D9" w14:textId="77777777" w:rsidR="00242A20" w:rsidRPr="00242A20" w:rsidRDefault="00242A20" w:rsidP="00242A20">
            <w:pPr>
              <w:spacing w:line="259" w:lineRule="auto"/>
              <w:ind w:right="17"/>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1 </w:t>
            </w:r>
          </w:p>
        </w:tc>
        <w:tc>
          <w:tcPr>
            <w:tcW w:w="1008" w:type="dxa"/>
            <w:tcBorders>
              <w:top w:val="single" w:sz="4" w:space="0" w:color="000000"/>
              <w:left w:val="single" w:sz="4" w:space="0" w:color="000000"/>
              <w:bottom w:val="single" w:sz="4" w:space="0" w:color="000000"/>
              <w:right w:val="single" w:sz="4" w:space="0" w:color="000000"/>
            </w:tcBorders>
          </w:tcPr>
          <w:p w14:paraId="4D56232D" w14:textId="77777777" w:rsidR="00242A20" w:rsidRPr="00242A20" w:rsidRDefault="00242A20" w:rsidP="00242A20">
            <w:pPr>
              <w:spacing w:line="259" w:lineRule="auto"/>
              <w:ind w:right="15"/>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2 </w:t>
            </w:r>
          </w:p>
        </w:tc>
        <w:tc>
          <w:tcPr>
            <w:tcW w:w="1008" w:type="dxa"/>
            <w:tcBorders>
              <w:top w:val="single" w:sz="4" w:space="0" w:color="000000"/>
              <w:left w:val="single" w:sz="4" w:space="0" w:color="000000"/>
              <w:bottom w:val="single" w:sz="4" w:space="0" w:color="000000"/>
              <w:right w:val="single" w:sz="4" w:space="0" w:color="000000"/>
            </w:tcBorders>
          </w:tcPr>
          <w:p w14:paraId="7C904D3C" w14:textId="77777777" w:rsidR="00242A20" w:rsidRPr="00242A20" w:rsidRDefault="00242A20" w:rsidP="00242A20">
            <w:pPr>
              <w:spacing w:line="259" w:lineRule="auto"/>
              <w:ind w:right="15"/>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3 </w:t>
            </w:r>
          </w:p>
        </w:tc>
        <w:tc>
          <w:tcPr>
            <w:tcW w:w="1011" w:type="dxa"/>
            <w:tcBorders>
              <w:top w:val="single" w:sz="4" w:space="0" w:color="000000"/>
              <w:left w:val="single" w:sz="4" w:space="0" w:color="000000"/>
              <w:bottom w:val="single" w:sz="4" w:space="0" w:color="000000"/>
              <w:right w:val="single" w:sz="4" w:space="0" w:color="000000"/>
            </w:tcBorders>
          </w:tcPr>
          <w:p w14:paraId="46EFF979" w14:textId="77777777" w:rsidR="00242A20" w:rsidRPr="00242A20" w:rsidRDefault="00242A20" w:rsidP="00242A20">
            <w:pPr>
              <w:spacing w:line="259" w:lineRule="auto"/>
              <w:ind w:right="13"/>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4 </w:t>
            </w:r>
          </w:p>
        </w:tc>
        <w:tc>
          <w:tcPr>
            <w:tcW w:w="1013" w:type="dxa"/>
            <w:tcBorders>
              <w:top w:val="single" w:sz="4" w:space="0" w:color="000000"/>
              <w:left w:val="single" w:sz="4" w:space="0" w:color="000000"/>
              <w:bottom w:val="single" w:sz="4" w:space="0" w:color="000000"/>
              <w:right w:val="single" w:sz="4" w:space="0" w:color="000000"/>
            </w:tcBorders>
          </w:tcPr>
          <w:p w14:paraId="7F426867" w14:textId="77777777" w:rsidR="00242A20" w:rsidRPr="00242A20" w:rsidRDefault="00242A20" w:rsidP="00242A20">
            <w:pPr>
              <w:spacing w:line="259" w:lineRule="auto"/>
              <w:ind w:right="15"/>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5 </w:t>
            </w:r>
          </w:p>
        </w:tc>
      </w:tr>
      <w:tr w:rsidR="00242A20" w:rsidRPr="00242A20" w14:paraId="3E70CBD3" w14:textId="77777777" w:rsidTr="00531DF4">
        <w:trPr>
          <w:trHeight w:val="216"/>
        </w:trPr>
        <w:tc>
          <w:tcPr>
            <w:tcW w:w="1325" w:type="dxa"/>
            <w:tcBorders>
              <w:top w:val="single" w:sz="4" w:space="0" w:color="000000"/>
              <w:left w:val="single" w:sz="4" w:space="0" w:color="000000"/>
              <w:bottom w:val="single" w:sz="4" w:space="0" w:color="000000"/>
              <w:right w:val="single" w:sz="4" w:space="0" w:color="000000"/>
            </w:tcBorders>
          </w:tcPr>
          <w:p w14:paraId="33AB6571" w14:textId="01CFFF1A" w:rsidR="00242A20" w:rsidRPr="00242A20" w:rsidRDefault="00242A20" w:rsidP="00242A20">
            <w:pPr>
              <w:spacing w:line="259" w:lineRule="auto"/>
              <w:ind w:right="8"/>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20</w:t>
            </w:r>
            <w:r w:rsidR="00A10590">
              <w:rPr>
                <w:rFonts w:ascii="Times New Roman" w:eastAsia="Times New Roman" w:hAnsi="Times New Roman" w:cs="Times New Roman"/>
                <w:color w:val="000000"/>
                <w:sz w:val="18"/>
              </w:rPr>
              <w:t>20</w:t>
            </w:r>
          </w:p>
        </w:tc>
        <w:tc>
          <w:tcPr>
            <w:tcW w:w="1011" w:type="dxa"/>
            <w:tcBorders>
              <w:top w:val="single" w:sz="4" w:space="0" w:color="000000"/>
              <w:left w:val="single" w:sz="4" w:space="0" w:color="000000"/>
              <w:bottom w:val="single" w:sz="4" w:space="0" w:color="000000"/>
              <w:right w:val="single" w:sz="4" w:space="0" w:color="000000"/>
            </w:tcBorders>
          </w:tcPr>
          <w:p w14:paraId="515F789E" w14:textId="77777777" w:rsidR="00242A20" w:rsidRPr="00242A20" w:rsidRDefault="00242A20" w:rsidP="00242A20">
            <w:pPr>
              <w:spacing w:line="259" w:lineRule="auto"/>
              <w:ind w:left="29"/>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56A313B3"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49378CBF"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731F699A" w14:textId="77777777" w:rsidR="00242A20" w:rsidRPr="00242A20" w:rsidRDefault="00242A20" w:rsidP="00242A20">
            <w:pPr>
              <w:spacing w:line="259" w:lineRule="auto"/>
              <w:ind w:left="33"/>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17234091"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r>
      <w:tr w:rsidR="00242A20" w:rsidRPr="00242A20" w14:paraId="2DABFD28" w14:textId="77777777" w:rsidTr="00531DF4">
        <w:trPr>
          <w:trHeight w:val="218"/>
        </w:trPr>
        <w:tc>
          <w:tcPr>
            <w:tcW w:w="1325" w:type="dxa"/>
            <w:tcBorders>
              <w:top w:val="single" w:sz="4" w:space="0" w:color="000000"/>
              <w:left w:val="single" w:sz="4" w:space="0" w:color="000000"/>
              <w:bottom w:val="single" w:sz="4" w:space="0" w:color="000000"/>
              <w:right w:val="single" w:sz="4" w:space="0" w:color="000000"/>
            </w:tcBorders>
          </w:tcPr>
          <w:p w14:paraId="08482CA1" w14:textId="69C97097" w:rsidR="00242A20" w:rsidRPr="00242A20" w:rsidRDefault="00242A20" w:rsidP="00242A20">
            <w:pPr>
              <w:spacing w:line="259" w:lineRule="auto"/>
              <w:ind w:right="8"/>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20</w:t>
            </w:r>
            <w:r w:rsidR="00A10590">
              <w:rPr>
                <w:rFonts w:ascii="Times New Roman" w:eastAsia="Times New Roman" w:hAnsi="Times New Roman" w:cs="Times New Roman"/>
                <w:color w:val="000000"/>
                <w:sz w:val="18"/>
              </w:rPr>
              <w:t>21</w:t>
            </w:r>
            <w:r w:rsidRPr="00242A20">
              <w:rPr>
                <w:rFonts w:ascii="Times New Roman" w:eastAsia="Times New Roman" w:hAnsi="Times New Roman" w:cs="Times New Roman"/>
                <w:color w:val="000000"/>
                <w:sz w:val="18"/>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53E4E132" w14:textId="77777777" w:rsidR="00242A20" w:rsidRPr="00242A20" w:rsidRDefault="00242A20" w:rsidP="00242A20">
            <w:pPr>
              <w:spacing w:line="259" w:lineRule="auto"/>
              <w:ind w:left="29"/>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0EA02AA9"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319153A9"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2F435210" w14:textId="77777777" w:rsidR="00242A20" w:rsidRPr="00242A20" w:rsidRDefault="00242A20" w:rsidP="00242A20">
            <w:pPr>
              <w:spacing w:line="259" w:lineRule="auto"/>
              <w:ind w:left="33"/>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44AFF738"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r>
      <w:tr w:rsidR="00242A20" w:rsidRPr="00242A20" w14:paraId="53AFEC2F" w14:textId="77777777" w:rsidTr="00531DF4">
        <w:trPr>
          <w:trHeight w:val="216"/>
        </w:trPr>
        <w:tc>
          <w:tcPr>
            <w:tcW w:w="1325" w:type="dxa"/>
            <w:tcBorders>
              <w:top w:val="single" w:sz="4" w:space="0" w:color="000000"/>
              <w:left w:val="single" w:sz="4" w:space="0" w:color="000000"/>
              <w:bottom w:val="single" w:sz="4" w:space="0" w:color="000000"/>
              <w:right w:val="single" w:sz="4" w:space="0" w:color="000000"/>
            </w:tcBorders>
          </w:tcPr>
          <w:p w14:paraId="3A1BAAE4" w14:textId="3C23F6D9" w:rsidR="00242A20" w:rsidRPr="00242A20" w:rsidRDefault="00242A20" w:rsidP="00242A20">
            <w:pPr>
              <w:spacing w:line="259" w:lineRule="auto"/>
              <w:ind w:right="8"/>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20</w:t>
            </w:r>
            <w:r w:rsidR="00A10590">
              <w:rPr>
                <w:rFonts w:ascii="Times New Roman" w:eastAsia="Times New Roman" w:hAnsi="Times New Roman" w:cs="Times New Roman"/>
                <w:color w:val="000000"/>
                <w:sz w:val="18"/>
              </w:rPr>
              <w:t>22</w:t>
            </w:r>
          </w:p>
        </w:tc>
        <w:tc>
          <w:tcPr>
            <w:tcW w:w="1011" w:type="dxa"/>
            <w:tcBorders>
              <w:top w:val="single" w:sz="4" w:space="0" w:color="000000"/>
              <w:left w:val="single" w:sz="4" w:space="0" w:color="000000"/>
              <w:bottom w:val="single" w:sz="4" w:space="0" w:color="000000"/>
              <w:right w:val="single" w:sz="4" w:space="0" w:color="000000"/>
            </w:tcBorders>
          </w:tcPr>
          <w:p w14:paraId="5277D1FB" w14:textId="77777777" w:rsidR="00242A20" w:rsidRPr="00242A20" w:rsidRDefault="00242A20" w:rsidP="00242A20">
            <w:pPr>
              <w:spacing w:line="259" w:lineRule="auto"/>
              <w:ind w:left="29"/>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59BF6C43"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1FA93DA1"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3AAE038F" w14:textId="77777777" w:rsidR="00242A20" w:rsidRPr="00242A20" w:rsidRDefault="00242A20" w:rsidP="00242A20">
            <w:pPr>
              <w:spacing w:line="259" w:lineRule="auto"/>
              <w:ind w:left="33"/>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40CB5606"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r>
      <w:tr w:rsidR="00242A20" w:rsidRPr="00242A20" w14:paraId="0FD8B24A" w14:textId="77777777" w:rsidTr="00531DF4">
        <w:trPr>
          <w:trHeight w:val="218"/>
        </w:trPr>
        <w:tc>
          <w:tcPr>
            <w:tcW w:w="1325" w:type="dxa"/>
            <w:tcBorders>
              <w:top w:val="single" w:sz="4" w:space="0" w:color="000000"/>
              <w:left w:val="single" w:sz="4" w:space="0" w:color="000000"/>
              <w:bottom w:val="single" w:sz="4" w:space="0" w:color="000000"/>
              <w:right w:val="single" w:sz="4" w:space="0" w:color="000000"/>
            </w:tcBorders>
          </w:tcPr>
          <w:p w14:paraId="1F04B645" w14:textId="36117DC4" w:rsidR="00242A20" w:rsidRPr="00242A20" w:rsidRDefault="00242A20" w:rsidP="00242A20">
            <w:pPr>
              <w:spacing w:line="259" w:lineRule="auto"/>
              <w:ind w:right="8"/>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20</w:t>
            </w:r>
            <w:r w:rsidR="00A10590">
              <w:rPr>
                <w:rFonts w:ascii="Times New Roman" w:eastAsia="Times New Roman" w:hAnsi="Times New Roman" w:cs="Times New Roman"/>
                <w:color w:val="000000"/>
                <w:sz w:val="18"/>
              </w:rPr>
              <w:t>23</w:t>
            </w:r>
          </w:p>
        </w:tc>
        <w:tc>
          <w:tcPr>
            <w:tcW w:w="1011" w:type="dxa"/>
            <w:tcBorders>
              <w:top w:val="single" w:sz="4" w:space="0" w:color="000000"/>
              <w:left w:val="single" w:sz="4" w:space="0" w:color="000000"/>
              <w:bottom w:val="single" w:sz="4" w:space="0" w:color="000000"/>
              <w:right w:val="single" w:sz="4" w:space="0" w:color="000000"/>
            </w:tcBorders>
          </w:tcPr>
          <w:p w14:paraId="12D13DD3" w14:textId="77777777" w:rsidR="00242A20" w:rsidRPr="00242A20" w:rsidRDefault="00242A20" w:rsidP="00242A20">
            <w:pPr>
              <w:spacing w:line="259" w:lineRule="auto"/>
              <w:ind w:left="29"/>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003D8972"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53CE79F5"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332997E7" w14:textId="77777777" w:rsidR="00242A20" w:rsidRPr="00242A20" w:rsidRDefault="00242A20" w:rsidP="00242A20">
            <w:pPr>
              <w:spacing w:line="259" w:lineRule="auto"/>
              <w:ind w:left="33"/>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5DB5505C"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r>
      <w:tr w:rsidR="00242A20" w:rsidRPr="00242A20" w14:paraId="12BCC6E8" w14:textId="77777777" w:rsidTr="00531DF4">
        <w:trPr>
          <w:trHeight w:val="216"/>
        </w:trPr>
        <w:tc>
          <w:tcPr>
            <w:tcW w:w="1325" w:type="dxa"/>
            <w:tcBorders>
              <w:top w:val="single" w:sz="4" w:space="0" w:color="000000"/>
              <w:left w:val="single" w:sz="4" w:space="0" w:color="000000"/>
              <w:bottom w:val="single" w:sz="4" w:space="0" w:color="000000"/>
              <w:right w:val="single" w:sz="4" w:space="0" w:color="000000"/>
            </w:tcBorders>
          </w:tcPr>
          <w:p w14:paraId="073C84B2" w14:textId="6CF76566" w:rsidR="00242A20" w:rsidRPr="00242A20" w:rsidRDefault="00242A20" w:rsidP="00242A20">
            <w:pPr>
              <w:spacing w:line="259" w:lineRule="auto"/>
              <w:ind w:right="8"/>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20</w:t>
            </w:r>
            <w:r w:rsidR="00A10590">
              <w:rPr>
                <w:rFonts w:ascii="Times New Roman" w:eastAsia="Times New Roman" w:hAnsi="Times New Roman" w:cs="Times New Roman"/>
                <w:color w:val="000000"/>
                <w:sz w:val="18"/>
              </w:rPr>
              <w:t>24</w:t>
            </w:r>
            <w:r w:rsidRPr="00242A20">
              <w:rPr>
                <w:rFonts w:ascii="Times New Roman" w:eastAsia="Times New Roman" w:hAnsi="Times New Roman" w:cs="Times New Roman"/>
                <w:color w:val="000000"/>
                <w:sz w:val="18"/>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37BB62E7" w14:textId="77777777" w:rsidR="00242A20" w:rsidRPr="00242A20" w:rsidRDefault="00242A20" w:rsidP="00242A20">
            <w:pPr>
              <w:spacing w:line="259" w:lineRule="auto"/>
              <w:ind w:left="29"/>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2ACE0146"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08" w:type="dxa"/>
            <w:tcBorders>
              <w:top w:val="single" w:sz="4" w:space="0" w:color="000000"/>
              <w:left w:val="single" w:sz="4" w:space="0" w:color="000000"/>
              <w:bottom w:val="single" w:sz="4" w:space="0" w:color="000000"/>
              <w:right w:val="single" w:sz="4" w:space="0" w:color="000000"/>
            </w:tcBorders>
          </w:tcPr>
          <w:p w14:paraId="3C13AD9A"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11" w:type="dxa"/>
            <w:tcBorders>
              <w:top w:val="single" w:sz="4" w:space="0" w:color="000000"/>
              <w:left w:val="single" w:sz="4" w:space="0" w:color="000000"/>
              <w:bottom w:val="single" w:sz="4" w:space="0" w:color="000000"/>
              <w:right w:val="single" w:sz="4" w:space="0" w:color="000000"/>
            </w:tcBorders>
          </w:tcPr>
          <w:p w14:paraId="59F7B83F" w14:textId="77777777" w:rsidR="00242A20" w:rsidRPr="00242A20" w:rsidRDefault="00242A20" w:rsidP="00242A20">
            <w:pPr>
              <w:spacing w:line="259" w:lineRule="auto"/>
              <w:ind w:left="33"/>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c>
          <w:tcPr>
            <w:tcW w:w="1013" w:type="dxa"/>
            <w:tcBorders>
              <w:top w:val="single" w:sz="4" w:space="0" w:color="000000"/>
              <w:left w:val="single" w:sz="4" w:space="0" w:color="000000"/>
              <w:bottom w:val="single" w:sz="4" w:space="0" w:color="000000"/>
              <w:right w:val="single" w:sz="4" w:space="0" w:color="000000"/>
            </w:tcBorders>
          </w:tcPr>
          <w:p w14:paraId="0F6437C9" w14:textId="77777777" w:rsidR="00242A20" w:rsidRPr="00242A20" w:rsidRDefault="00242A20" w:rsidP="00242A20">
            <w:pPr>
              <w:spacing w:line="259" w:lineRule="auto"/>
              <w:ind w:left="31"/>
              <w:jc w:val="center"/>
              <w:rPr>
                <w:rFonts w:ascii="Times New Roman" w:eastAsia="Times New Roman" w:hAnsi="Times New Roman" w:cs="Times New Roman"/>
                <w:color w:val="000000"/>
                <w:sz w:val="22"/>
              </w:rPr>
            </w:pPr>
            <w:r w:rsidRPr="00242A20">
              <w:rPr>
                <w:rFonts w:ascii="Times New Roman" w:eastAsia="Times New Roman" w:hAnsi="Times New Roman" w:cs="Times New Roman"/>
                <w:color w:val="000000"/>
                <w:sz w:val="18"/>
              </w:rPr>
              <w:t xml:space="preserve"> </w:t>
            </w:r>
          </w:p>
        </w:tc>
      </w:tr>
    </w:tbl>
    <w:p w14:paraId="6F275E30" w14:textId="77777777" w:rsidR="00242A20" w:rsidRPr="00242A20" w:rsidRDefault="00242A20" w:rsidP="00242A20">
      <w:pPr>
        <w:spacing w:after="60" w:line="259" w:lineRule="auto"/>
        <w:ind w:left="358"/>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18"/>
          <w:lang w:eastAsia="ru-RU"/>
        </w:rPr>
        <w:t xml:space="preserve"> </w:t>
      </w:r>
    </w:p>
    <w:p w14:paraId="54554236"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У ротаційній таблиці необхідно показати чергування культур в сівозміні та розміщення їх на полях розсадника по роках, відобразивши весь цикл вирощування певної культури.  </w:t>
      </w:r>
    </w:p>
    <w:p w14:paraId="3A140B52" w14:textId="093E6050" w:rsidR="00242A20" w:rsidRPr="00242A20" w:rsidRDefault="00242A20" w:rsidP="00242A20">
      <w:pPr>
        <w:spacing w:after="54" w:line="259" w:lineRule="auto"/>
        <w:ind w:left="358"/>
        <w:rPr>
          <w:rFonts w:ascii="Times New Roman" w:eastAsia="Times New Roman" w:hAnsi="Times New Roman" w:cs="Times New Roman"/>
          <w:color w:val="000000"/>
          <w:sz w:val="22"/>
          <w:lang w:eastAsia="ru-RU"/>
        </w:rPr>
      </w:pPr>
    </w:p>
    <w:p w14:paraId="2E030ACD" w14:textId="77777777" w:rsidR="00242A20" w:rsidRPr="00242A20" w:rsidRDefault="00242A20" w:rsidP="00242A20">
      <w:pPr>
        <w:keepNext/>
        <w:keepLines/>
        <w:spacing w:after="14" w:line="259" w:lineRule="auto"/>
        <w:ind w:left="10" w:right="52" w:hanging="10"/>
        <w:jc w:val="center"/>
        <w:outlineLvl w:val="1"/>
        <w:rPr>
          <w:rFonts w:ascii="Times New Roman" w:eastAsia="Times New Roman" w:hAnsi="Times New Roman" w:cs="Times New Roman"/>
          <w:b/>
          <w:i/>
          <w:color w:val="000000"/>
          <w:sz w:val="22"/>
          <w:lang w:eastAsia="ru-RU"/>
        </w:rPr>
      </w:pPr>
      <w:r w:rsidRPr="00242A20">
        <w:rPr>
          <w:rFonts w:ascii="Times New Roman" w:eastAsia="Times New Roman" w:hAnsi="Times New Roman" w:cs="Times New Roman"/>
          <w:b/>
          <w:i/>
          <w:color w:val="000000"/>
          <w:sz w:val="22"/>
          <w:lang w:eastAsia="ru-RU"/>
        </w:rPr>
        <w:t>Контрольні питання</w:t>
      </w:r>
      <w:r w:rsidRPr="00242A20">
        <w:rPr>
          <w:rFonts w:ascii="Times New Roman" w:eastAsia="Times New Roman" w:hAnsi="Times New Roman" w:cs="Times New Roman"/>
          <w:color w:val="000000"/>
          <w:sz w:val="22"/>
          <w:lang w:eastAsia="ru-RU"/>
        </w:rPr>
        <w:t xml:space="preserve"> </w:t>
      </w:r>
    </w:p>
    <w:p w14:paraId="45C23549" w14:textId="77777777" w:rsidR="00242A20" w:rsidRPr="00242A20" w:rsidRDefault="00242A20" w:rsidP="00242A20">
      <w:pPr>
        <w:numPr>
          <w:ilvl w:val="0"/>
          <w:numId w:val="2"/>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З якою метою під час вирощування садивного матеріалу практикують використання попередників? </w:t>
      </w:r>
    </w:p>
    <w:p w14:paraId="4683110E" w14:textId="77777777" w:rsidR="00242A20" w:rsidRPr="00242A20" w:rsidRDefault="00242A20" w:rsidP="00242A20">
      <w:pPr>
        <w:numPr>
          <w:ilvl w:val="0"/>
          <w:numId w:val="2"/>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Які проблеми дозволяє вирішити використання сидерального пару в умовах достатнього та надмірного зрошення? </w:t>
      </w:r>
    </w:p>
    <w:p w14:paraId="2D321044" w14:textId="77777777" w:rsidR="00242A20" w:rsidRPr="00242A20" w:rsidRDefault="00242A20" w:rsidP="00242A20">
      <w:pPr>
        <w:numPr>
          <w:ilvl w:val="0"/>
          <w:numId w:val="2"/>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Чому бобові культури є бажаними попередником? </w:t>
      </w:r>
    </w:p>
    <w:p w14:paraId="74A6D3CC" w14:textId="77777777" w:rsidR="00242A20" w:rsidRPr="00242A20" w:rsidRDefault="00242A20" w:rsidP="00242A20">
      <w:pPr>
        <w:numPr>
          <w:ilvl w:val="0"/>
          <w:numId w:val="2"/>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Які бактеріальні добрива застосовують під час вирощування попередника? </w:t>
      </w:r>
    </w:p>
    <w:p w14:paraId="3F1823CF" w14:textId="77777777" w:rsidR="00242A20" w:rsidRPr="00242A20" w:rsidRDefault="00242A20" w:rsidP="00242A20">
      <w:pPr>
        <w:numPr>
          <w:ilvl w:val="0"/>
          <w:numId w:val="2"/>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З якою метою в умовах недостатнього зволоження застосовують чорний пар? </w:t>
      </w:r>
    </w:p>
    <w:p w14:paraId="1C2288DA" w14:textId="77777777" w:rsidR="00242A20" w:rsidRPr="00242A20" w:rsidRDefault="00242A20" w:rsidP="00242A20">
      <w:pPr>
        <w:numPr>
          <w:ilvl w:val="0"/>
          <w:numId w:val="2"/>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Скільки полів практикують у першій та другій шкілках під час вирощування хвойних рослин? </w:t>
      </w:r>
    </w:p>
    <w:p w14:paraId="73E8E610" w14:textId="77777777" w:rsidR="00242A20" w:rsidRPr="00242A20" w:rsidRDefault="00242A20" w:rsidP="00242A20">
      <w:pPr>
        <w:spacing w:after="27" w:line="259" w:lineRule="auto"/>
        <w:ind w:left="358"/>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 </w:t>
      </w:r>
    </w:p>
    <w:p w14:paraId="48CEEFF8" w14:textId="77777777" w:rsidR="00242A20" w:rsidRPr="00242A20" w:rsidRDefault="00242A20" w:rsidP="00242A20">
      <w:pPr>
        <w:spacing w:after="14" w:line="259" w:lineRule="auto"/>
        <w:ind w:left="10" w:right="56" w:hanging="10"/>
        <w:jc w:val="center"/>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b/>
          <w:i/>
          <w:color w:val="000000"/>
          <w:sz w:val="22"/>
          <w:lang w:eastAsia="ru-RU"/>
        </w:rPr>
        <w:t xml:space="preserve">Тести для контролю засвоєння знань з теми: </w:t>
      </w:r>
    </w:p>
    <w:p w14:paraId="45D8D62F" w14:textId="77777777" w:rsidR="00242A20" w:rsidRPr="00242A20" w:rsidRDefault="00242A20" w:rsidP="00242A20">
      <w:pPr>
        <w:spacing w:after="5" w:line="268" w:lineRule="auto"/>
        <w:ind w:left="353" w:right="43" w:hanging="10"/>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1. Науково обґрунтовані сівозміни дозволяють: </w:t>
      </w:r>
    </w:p>
    <w:p w14:paraId="2A9DA1CA" w14:textId="77777777" w:rsidR="00242A20" w:rsidRPr="00242A20" w:rsidRDefault="00242A20" w:rsidP="00242A20">
      <w:pPr>
        <w:numPr>
          <w:ilvl w:val="0"/>
          <w:numId w:val="3"/>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підтримувати та підвищувати родючість ґрунту; </w:t>
      </w:r>
    </w:p>
    <w:p w14:paraId="7C549E9E" w14:textId="77777777" w:rsidR="00242A20" w:rsidRPr="00242A20" w:rsidRDefault="00242A20" w:rsidP="00242A20">
      <w:pPr>
        <w:numPr>
          <w:ilvl w:val="0"/>
          <w:numId w:val="3"/>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відновлювати та покращувати структуру ґрунту; </w:t>
      </w:r>
    </w:p>
    <w:p w14:paraId="5556043D" w14:textId="77777777" w:rsidR="00242A20" w:rsidRPr="00242A20" w:rsidRDefault="00242A20" w:rsidP="00242A20">
      <w:pPr>
        <w:numPr>
          <w:ilvl w:val="0"/>
          <w:numId w:val="3"/>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накопичувати і раціонально використовувати вологу та елементи мінерального живлення; 4) всі відповіді вірні. </w:t>
      </w:r>
    </w:p>
    <w:p w14:paraId="5FED8747" w14:textId="77777777" w:rsidR="00242A20" w:rsidRPr="00242A20" w:rsidRDefault="00242A20" w:rsidP="00242A20">
      <w:pPr>
        <w:spacing w:after="5" w:line="268" w:lineRule="auto"/>
        <w:ind w:left="353" w:right="43" w:hanging="10"/>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2. Під час проектування сівозміни не враховують: </w:t>
      </w:r>
    </w:p>
    <w:p w14:paraId="366B96F2" w14:textId="77777777" w:rsidR="00242A20" w:rsidRPr="00242A20" w:rsidRDefault="00242A20" w:rsidP="00242A20">
      <w:pPr>
        <w:numPr>
          <w:ilvl w:val="0"/>
          <w:numId w:val="4"/>
        </w:numPr>
        <w:spacing w:after="5" w:line="268" w:lineRule="auto"/>
        <w:ind w:right="1642"/>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вимоги рослин до зовнішнього середовища; </w:t>
      </w:r>
    </w:p>
    <w:p w14:paraId="588A87D2" w14:textId="77777777" w:rsidR="00242A20" w:rsidRPr="00242A20" w:rsidRDefault="00242A20" w:rsidP="00242A20">
      <w:pPr>
        <w:numPr>
          <w:ilvl w:val="0"/>
          <w:numId w:val="4"/>
        </w:numPr>
        <w:spacing w:after="5" w:line="270" w:lineRule="auto"/>
        <w:ind w:right="1642"/>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ґрунтово-кліматичні умови; 3) розміри розсадника; 4) планове завдання. </w:t>
      </w:r>
    </w:p>
    <w:p w14:paraId="55896F2F"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3. Сидеральний пар – люпинізація піщаних, супіщаних та глинисто-піщаних ґрунтів (вирощування на полях сівозміни культури люпину на зелене добриво), застосовують в сівозмінах розсадників: 1) Полісся; </w:t>
      </w:r>
    </w:p>
    <w:p w14:paraId="147B4D7F" w14:textId="77777777" w:rsidR="00242A20" w:rsidRPr="00242A20" w:rsidRDefault="00242A20" w:rsidP="00242A20">
      <w:pPr>
        <w:numPr>
          <w:ilvl w:val="0"/>
          <w:numId w:val="5"/>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Лісостепу: </w:t>
      </w:r>
    </w:p>
    <w:p w14:paraId="5958B86F" w14:textId="77777777" w:rsidR="00242A20" w:rsidRPr="00242A20" w:rsidRDefault="00242A20" w:rsidP="00242A20">
      <w:pPr>
        <w:numPr>
          <w:ilvl w:val="0"/>
          <w:numId w:val="5"/>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Степу; </w:t>
      </w:r>
    </w:p>
    <w:p w14:paraId="3BA8561D" w14:textId="77777777" w:rsidR="00242A20" w:rsidRPr="00242A20" w:rsidRDefault="00242A20" w:rsidP="00242A20">
      <w:pPr>
        <w:numPr>
          <w:ilvl w:val="0"/>
          <w:numId w:val="5"/>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зрошуваних розсадниках Степу </w:t>
      </w:r>
    </w:p>
    <w:p w14:paraId="43FC5D91" w14:textId="77777777" w:rsidR="00242A20" w:rsidRPr="00242A20" w:rsidRDefault="00242A20" w:rsidP="00242A20">
      <w:pPr>
        <w:spacing w:after="5" w:line="268" w:lineRule="auto"/>
        <w:ind w:left="353" w:right="43" w:hanging="10"/>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4. Завдяки люпинізації в ґрунті не відбуваються наступні процеси: </w:t>
      </w:r>
    </w:p>
    <w:p w14:paraId="439E6502" w14:textId="77777777" w:rsidR="00242A20" w:rsidRPr="00242A20" w:rsidRDefault="00242A20" w:rsidP="00242A20">
      <w:pPr>
        <w:numPr>
          <w:ilvl w:val="0"/>
          <w:numId w:val="6"/>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накопичується азот завдяки азотфіксації бульбочковими бактеріями азоту з атмосфери; </w:t>
      </w:r>
    </w:p>
    <w:p w14:paraId="2E95D5B2" w14:textId="77777777" w:rsidR="00242A20" w:rsidRPr="00242A20" w:rsidRDefault="00242A20" w:rsidP="00242A20">
      <w:pPr>
        <w:numPr>
          <w:ilvl w:val="0"/>
          <w:numId w:val="6"/>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підвищується водопроникність ґрунту; </w:t>
      </w:r>
    </w:p>
    <w:p w14:paraId="4533CA95" w14:textId="77777777" w:rsidR="00242A20" w:rsidRPr="00242A20" w:rsidRDefault="00242A20" w:rsidP="00242A20">
      <w:pPr>
        <w:numPr>
          <w:ilvl w:val="0"/>
          <w:numId w:val="6"/>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корені люпину мобілізують важкодоступні елементи живлення вимиті в нижні горизонти, накопичують їх в пагонах і листі, а після заорювання збагачують грунт доступними елементами; </w:t>
      </w:r>
    </w:p>
    <w:p w14:paraId="6EEF8374" w14:textId="77777777" w:rsidR="00242A20" w:rsidRPr="00242A20" w:rsidRDefault="00242A20" w:rsidP="00242A20">
      <w:pPr>
        <w:numPr>
          <w:ilvl w:val="0"/>
          <w:numId w:val="6"/>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алелопатичні виділення коренів люпину зменшують кількість хвороботворних організмів. </w:t>
      </w:r>
    </w:p>
    <w:p w14:paraId="7592E45C"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5. Як сидеральну культуру в розсадниках Полісся і північних районів Лісостепу крім люпину використовують: </w:t>
      </w:r>
    </w:p>
    <w:p w14:paraId="1F4F9AEE" w14:textId="77777777" w:rsidR="00242A20" w:rsidRPr="00242A20" w:rsidRDefault="00242A20" w:rsidP="00242A20">
      <w:pPr>
        <w:numPr>
          <w:ilvl w:val="0"/>
          <w:numId w:val="7"/>
        </w:numPr>
        <w:spacing w:after="5" w:line="268" w:lineRule="auto"/>
        <w:ind w:right="2209"/>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ріпак; </w:t>
      </w:r>
    </w:p>
    <w:p w14:paraId="4BF75987" w14:textId="77777777" w:rsidR="00242A20" w:rsidRPr="00242A20" w:rsidRDefault="00242A20" w:rsidP="00242A20">
      <w:pPr>
        <w:numPr>
          <w:ilvl w:val="0"/>
          <w:numId w:val="7"/>
        </w:numPr>
        <w:spacing w:after="5" w:line="270" w:lineRule="auto"/>
        <w:ind w:right="2209"/>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овес зимуючий; 3) віку яру; 4) буркун. </w:t>
      </w:r>
    </w:p>
    <w:p w14:paraId="6B326B4E" w14:textId="77777777" w:rsidR="00242A20" w:rsidRPr="00242A20" w:rsidRDefault="00242A20" w:rsidP="00242A20">
      <w:pPr>
        <w:spacing w:after="5" w:line="268" w:lineRule="auto"/>
        <w:ind w:left="353" w:right="43" w:hanging="10"/>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6. У розсадниках Лісостепу як попередник використовують: </w:t>
      </w:r>
    </w:p>
    <w:p w14:paraId="084B7252" w14:textId="77777777" w:rsidR="00242A20" w:rsidRPr="00242A20" w:rsidRDefault="00242A20" w:rsidP="00242A20">
      <w:pPr>
        <w:numPr>
          <w:ilvl w:val="0"/>
          <w:numId w:val="8"/>
        </w:numPr>
        <w:spacing w:after="5" w:line="268" w:lineRule="auto"/>
        <w:ind w:right="2272"/>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сидеральний пар; </w:t>
      </w:r>
    </w:p>
    <w:p w14:paraId="516D6551" w14:textId="77777777" w:rsidR="00242A20" w:rsidRPr="00242A20" w:rsidRDefault="00242A20" w:rsidP="00242A20">
      <w:pPr>
        <w:numPr>
          <w:ilvl w:val="0"/>
          <w:numId w:val="8"/>
        </w:numPr>
        <w:spacing w:after="5" w:line="270" w:lineRule="auto"/>
        <w:ind w:right="2272"/>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lastRenderedPageBreak/>
        <w:t xml:space="preserve">зайнятий пар; 3) чорний пар; 4) люпин. </w:t>
      </w:r>
    </w:p>
    <w:p w14:paraId="6CD4B0BC"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7. Головною метою введення сівозмін у виробничих відділеннях розсадників Лісостепу є: </w:t>
      </w:r>
    </w:p>
    <w:p w14:paraId="368D141C" w14:textId="77777777" w:rsidR="00242A20" w:rsidRPr="00242A20" w:rsidRDefault="00242A20" w:rsidP="00242A20">
      <w:pPr>
        <w:numPr>
          <w:ilvl w:val="0"/>
          <w:numId w:val="9"/>
        </w:numPr>
        <w:spacing w:after="5" w:line="268" w:lineRule="auto"/>
        <w:ind w:right="562"/>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збереження структури, підтримання і підвищення родючості ґрунтів; </w:t>
      </w:r>
    </w:p>
    <w:p w14:paraId="5D493ABB" w14:textId="77777777" w:rsidR="00242A20" w:rsidRPr="00242A20" w:rsidRDefault="00242A20" w:rsidP="00242A20">
      <w:pPr>
        <w:numPr>
          <w:ilvl w:val="0"/>
          <w:numId w:val="9"/>
        </w:numPr>
        <w:spacing w:after="5" w:line="270" w:lineRule="auto"/>
        <w:ind w:right="562"/>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покращення водно-фізичних властивостей ґрунтів; 3) поліпшення забезпечення ґрунту вологою; 4) зменшення забур‘яненості полів. </w:t>
      </w:r>
    </w:p>
    <w:p w14:paraId="5D5EF97D"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8. В зоні Лісостепу для підвищення родючості на зелене сидеральне добриво не вирощують: </w:t>
      </w:r>
    </w:p>
    <w:p w14:paraId="1F961D49" w14:textId="77777777" w:rsidR="00242A20" w:rsidRPr="00242A20" w:rsidRDefault="00242A20" w:rsidP="00242A20">
      <w:pPr>
        <w:numPr>
          <w:ilvl w:val="0"/>
          <w:numId w:val="10"/>
        </w:numPr>
        <w:spacing w:after="5" w:line="268" w:lineRule="auto"/>
        <w:ind w:right="2444"/>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горох; </w:t>
      </w:r>
    </w:p>
    <w:p w14:paraId="5CEE2A12" w14:textId="77777777" w:rsidR="00242A20" w:rsidRPr="00242A20" w:rsidRDefault="00242A20" w:rsidP="00242A20">
      <w:pPr>
        <w:numPr>
          <w:ilvl w:val="0"/>
          <w:numId w:val="10"/>
        </w:numPr>
        <w:spacing w:after="5" w:line="270" w:lineRule="auto"/>
        <w:ind w:right="2444"/>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кукурудзу; 3) гречку; 4) гірчицю. </w:t>
      </w:r>
    </w:p>
    <w:p w14:paraId="37D0E95A"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9. В незрошуваних розсадниках Степу як попередник використовують: </w:t>
      </w:r>
    </w:p>
    <w:p w14:paraId="6495025A" w14:textId="77777777" w:rsidR="00242A20" w:rsidRPr="00242A20" w:rsidRDefault="00242A20" w:rsidP="00242A20">
      <w:pPr>
        <w:spacing w:after="5" w:line="270" w:lineRule="auto"/>
        <w:ind w:left="353" w:right="4227" w:hanging="10"/>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1) сидеральний пар; 2) зайнятий пар; 3) чорний пар. </w:t>
      </w:r>
    </w:p>
    <w:p w14:paraId="43881CAC" w14:textId="77777777" w:rsidR="00242A20" w:rsidRPr="00242A20" w:rsidRDefault="00242A20" w:rsidP="00242A20">
      <w:pPr>
        <w:spacing w:after="5" w:line="268" w:lineRule="auto"/>
        <w:ind w:left="353" w:right="43" w:hanging="10"/>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4) всі відповіді не вірні. </w:t>
      </w:r>
    </w:p>
    <w:p w14:paraId="57C0D47D" w14:textId="77777777" w:rsidR="00242A20" w:rsidRPr="00242A20" w:rsidRDefault="00242A20" w:rsidP="00242A20">
      <w:pPr>
        <w:spacing w:after="5" w:line="268" w:lineRule="auto"/>
        <w:ind w:left="353" w:right="43" w:hanging="10"/>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10. Гідротермічний коефіцієнт в зоні Степу становить: </w:t>
      </w:r>
    </w:p>
    <w:p w14:paraId="1BA4AFBB" w14:textId="77777777" w:rsidR="00242A20" w:rsidRPr="00242A20" w:rsidRDefault="00242A20" w:rsidP="00242A20">
      <w:pPr>
        <w:numPr>
          <w:ilvl w:val="0"/>
          <w:numId w:val="11"/>
        </w:numPr>
        <w:spacing w:after="5" w:line="268" w:lineRule="auto"/>
        <w:ind w:right="273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&gt; 1 </w:t>
      </w:r>
    </w:p>
    <w:p w14:paraId="17F65720" w14:textId="77777777" w:rsidR="00242A20" w:rsidRPr="00242A20" w:rsidRDefault="00242A20" w:rsidP="00242A20">
      <w:pPr>
        <w:numPr>
          <w:ilvl w:val="0"/>
          <w:numId w:val="11"/>
        </w:numPr>
        <w:spacing w:after="5" w:line="268" w:lineRule="auto"/>
        <w:ind w:right="273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≥1 3. ≤ 1 </w:t>
      </w:r>
    </w:p>
    <w:p w14:paraId="60793752" w14:textId="77777777" w:rsidR="00242A20" w:rsidRPr="00242A20" w:rsidRDefault="00242A20" w:rsidP="00242A20">
      <w:pPr>
        <w:spacing w:after="5" w:line="268" w:lineRule="auto"/>
        <w:ind w:left="353" w:right="43" w:hanging="10"/>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4. &lt; 1 </w:t>
      </w:r>
    </w:p>
    <w:p w14:paraId="254C36AF"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11. Головним завданням чорного пару як попередника в незрошуваних розсадниках в Степу є: </w:t>
      </w:r>
    </w:p>
    <w:p w14:paraId="77DA8EA5" w14:textId="77777777" w:rsidR="00242A20" w:rsidRPr="00242A20" w:rsidRDefault="00242A20" w:rsidP="00242A20">
      <w:pPr>
        <w:numPr>
          <w:ilvl w:val="0"/>
          <w:numId w:val="12"/>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боротьба із забур‘яненістю полів; </w:t>
      </w:r>
    </w:p>
    <w:p w14:paraId="169F3D31" w14:textId="77777777" w:rsidR="00242A20" w:rsidRPr="00242A20" w:rsidRDefault="00242A20" w:rsidP="00242A20">
      <w:pPr>
        <w:numPr>
          <w:ilvl w:val="0"/>
          <w:numId w:val="12"/>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накопичення вологи в ґрунті; </w:t>
      </w:r>
    </w:p>
    <w:p w14:paraId="75FB2DFB" w14:textId="77777777" w:rsidR="00242A20" w:rsidRPr="00242A20" w:rsidRDefault="00242A20" w:rsidP="00242A20">
      <w:pPr>
        <w:numPr>
          <w:ilvl w:val="0"/>
          <w:numId w:val="12"/>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покращення водно-фізичних властивостей ґрунту; 4) накопичення елементів мінерального живлення. </w:t>
      </w:r>
    </w:p>
    <w:p w14:paraId="401FE454"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12. Основним завданням сівозміни в зрошуваних розсадниках Степу є: </w:t>
      </w:r>
    </w:p>
    <w:p w14:paraId="228744F5" w14:textId="77777777" w:rsidR="00242A20" w:rsidRPr="00242A20" w:rsidRDefault="00242A20" w:rsidP="00242A20">
      <w:pPr>
        <w:numPr>
          <w:ilvl w:val="0"/>
          <w:numId w:val="13"/>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підвищення родючості та покращення структури ґрунту; </w:t>
      </w:r>
    </w:p>
    <w:p w14:paraId="3A6D27B2" w14:textId="77777777" w:rsidR="00242A20" w:rsidRPr="00242A20" w:rsidRDefault="00242A20" w:rsidP="00242A20">
      <w:pPr>
        <w:numPr>
          <w:ilvl w:val="0"/>
          <w:numId w:val="13"/>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недопущення засолення ґрунту; </w:t>
      </w:r>
    </w:p>
    <w:p w14:paraId="0898B674" w14:textId="77777777" w:rsidR="00242A20" w:rsidRPr="00242A20" w:rsidRDefault="00242A20" w:rsidP="00242A20">
      <w:pPr>
        <w:numPr>
          <w:ilvl w:val="0"/>
          <w:numId w:val="13"/>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накопичення вологи; </w:t>
      </w:r>
    </w:p>
    <w:p w14:paraId="659C2AFF" w14:textId="77777777" w:rsidR="00242A20" w:rsidRPr="00242A20" w:rsidRDefault="00242A20" w:rsidP="00242A20">
      <w:pPr>
        <w:numPr>
          <w:ilvl w:val="0"/>
          <w:numId w:val="13"/>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протидія забур‘яненості полів. </w:t>
      </w:r>
    </w:p>
    <w:p w14:paraId="332A74F2"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13. Кращими попередниками деревних рослин в зрошуваних розсадниках Степу є: </w:t>
      </w:r>
    </w:p>
    <w:p w14:paraId="7ED52880" w14:textId="77777777" w:rsidR="00242A20" w:rsidRPr="00242A20" w:rsidRDefault="00242A20" w:rsidP="00242A20">
      <w:pPr>
        <w:numPr>
          <w:ilvl w:val="0"/>
          <w:numId w:val="14"/>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люпин однорічний; </w:t>
      </w:r>
    </w:p>
    <w:p w14:paraId="527FA65E" w14:textId="77777777" w:rsidR="00242A20" w:rsidRPr="00242A20" w:rsidRDefault="00242A20" w:rsidP="00242A20">
      <w:pPr>
        <w:numPr>
          <w:ilvl w:val="0"/>
          <w:numId w:val="14"/>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соя; </w:t>
      </w:r>
    </w:p>
    <w:p w14:paraId="061E4556" w14:textId="77777777" w:rsidR="00242A20" w:rsidRPr="00242A20" w:rsidRDefault="00242A20" w:rsidP="00242A20">
      <w:pPr>
        <w:numPr>
          <w:ilvl w:val="0"/>
          <w:numId w:val="14"/>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багаторічні бобові та однорічні злакові трави; 4) чорний пар. </w:t>
      </w:r>
    </w:p>
    <w:p w14:paraId="525697E8"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13. Для покращення структури ґрунту і підвищення його родючості в незрошуваних розсадниках Степу на малородючих ґрунтах як попередник використовують: </w:t>
      </w:r>
    </w:p>
    <w:p w14:paraId="5F0E8ACD" w14:textId="77777777" w:rsidR="00242A20" w:rsidRPr="00242A20" w:rsidRDefault="00242A20" w:rsidP="00242A20">
      <w:pPr>
        <w:numPr>
          <w:ilvl w:val="0"/>
          <w:numId w:val="15"/>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чорний пар; </w:t>
      </w:r>
    </w:p>
    <w:p w14:paraId="4BEFCD6A" w14:textId="77777777" w:rsidR="00242A20" w:rsidRPr="00242A20" w:rsidRDefault="00242A20" w:rsidP="00242A20">
      <w:pPr>
        <w:numPr>
          <w:ilvl w:val="0"/>
          <w:numId w:val="15"/>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вирощування однорічних бобових або злакових трав і наступне утримання поля під чорним паром; 3) сидеральний пар; 4) зайнятий пар. </w:t>
      </w:r>
    </w:p>
    <w:p w14:paraId="49A82769"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14. Під час травосіяння на кормові цілі використовують еспарцет, кострицю лучну, райграс високий, стоколос прямий та інші трави, які не призводять до засмічення площ: </w:t>
      </w:r>
    </w:p>
    <w:p w14:paraId="52FCC10F" w14:textId="77777777" w:rsidR="00242A20" w:rsidRPr="00242A20" w:rsidRDefault="00242A20" w:rsidP="00242A20">
      <w:pPr>
        <w:numPr>
          <w:ilvl w:val="0"/>
          <w:numId w:val="16"/>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у розсадниках Лісостепу; </w:t>
      </w:r>
    </w:p>
    <w:p w14:paraId="45873517" w14:textId="77777777" w:rsidR="00242A20" w:rsidRPr="00242A20" w:rsidRDefault="00242A20" w:rsidP="00242A20">
      <w:pPr>
        <w:numPr>
          <w:ilvl w:val="0"/>
          <w:numId w:val="16"/>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у розсадниках Полісся; </w:t>
      </w:r>
    </w:p>
    <w:p w14:paraId="6F0C889F" w14:textId="77777777" w:rsidR="00242A20" w:rsidRPr="00242A20" w:rsidRDefault="00242A20" w:rsidP="00242A20">
      <w:pPr>
        <w:numPr>
          <w:ilvl w:val="0"/>
          <w:numId w:val="16"/>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у розсадниках Степу; </w:t>
      </w:r>
    </w:p>
    <w:p w14:paraId="4EE230B9" w14:textId="77777777" w:rsidR="00242A20" w:rsidRPr="00242A20" w:rsidRDefault="00242A20" w:rsidP="00242A20">
      <w:pPr>
        <w:numPr>
          <w:ilvl w:val="0"/>
          <w:numId w:val="16"/>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у зрошуваних розсадниках Степу. </w:t>
      </w:r>
    </w:p>
    <w:p w14:paraId="567417E0"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15. Вводити однорічні (суданку) або багаторічні трави (люцерну чисту або у суміші з житняком, безкореневищним пирієм) з подальшим утриманням поля в наступному році під чорним паром бажано на: </w:t>
      </w:r>
    </w:p>
    <w:p w14:paraId="3EC4D114" w14:textId="77777777" w:rsidR="00242A20" w:rsidRPr="00242A20" w:rsidRDefault="00242A20" w:rsidP="00242A20">
      <w:pPr>
        <w:numPr>
          <w:ilvl w:val="0"/>
          <w:numId w:val="17"/>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дерново-підзолистих ґрунтах Полісся; </w:t>
      </w:r>
    </w:p>
    <w:p w14:paraId="1F95CAE7" w14:textId="77777777" w:rsidR="00242A20" w:rsidRPr="00242A20" w:rsidRDefault="00242A20" w:rsidP="00242A20">
      <w:pPr>
        <w:numPr>
          <w:ilvl w:val="0"/>
          <w:numId w:val="17"/>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на південних запливаючих чорноземах; </w:t>
      </w:r>
    </w:p>
    <w:p w14:paraId="5095C334" w14:textId="77777777" w:rsidR="00242A20" w:rsidRPr="00242A20" w:rsidRDefault="00242A20" w:rsidP="00242A20">
      <w:pPr>
        <w:numPr>
          <w:ilvl w:val="0"/>
          <w:numId w:val="17"/>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на щебенистих гірських ґрунтах у Криму; </w:t>
      </w:r>
    </w:p>
    <w:p w14:paraId="1C6E8014" w14:textId="77777777" w:rsidR="00242A20" w:rsidRPr="00242A20" w:rsidRDefault="00242A20" w:rsidP="00242A20">
      <w:pPr>
        <w:numPr>
          <w:ilvl w:val="0"/>
          <w:numId w:val="17"/>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на суглинистих опідзолених чорноземах Лісостепу.</w:t>
      </w:r>
      <w:r w:rsidRPr="00242A20">
        <w:rPr>
          <w:rFonts w:ascii="Times New Roman" w:eastAsia="Times New Roman" w:hAnsi="Times New Roman" w:cs="Times New Roman"/>
          <w:b/>
          <w:color w:val="000000"/>
          <w:sz w:val="22"/>
          <w:lang w:eastAsia="ru-RU"/>
        </w:rPr>
        <w:t xml:space="preserve"> </w:t>
      </w:r>
    </w:p>
    <w:p w14:paraId="56343F1A"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lastRenderedPageBreak/>
        <w:t xml:space="preserve">16. В декоративних розсадниках з метою збільшення полів сівозмін у відділі вирощування та формування декоративних дерев і чагарників можливе поєднання вирощування садивного матеріалу різного віку (першої, другої та третьої шкілок) в одній сівозміні за умови: </w:t>
      </w:r>
    </w:p>
    <w:p w14:paraId="2D65BF5C" w14:textId="77777777" w:rsidR="00242A20" w:rsidRPr="00242A20" w:rsidRDefault="00242A20" w:rsidP="00242A20">
      <w:pPr>
        <w:numPr>
          <w:ilvl w:val="0"/>
          <w:numId w:val="18"/>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якщо він вирощується в шкілках однакову або кратну кількість років; </w:t>
      </w:r>
    </w:p>
    <w:p w14:paraId="336AEA04" w14:textId="77777777" w:rsidR="00242A20" w:rsidRPr="00242A20" w:rsidRDefault="00242A20" w:rsidP="00242A20">
      <w:pPr>
        <w:numPr>
          <w:ilvl w:val="0"/>
          <w:numId w:val="18"/>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якщо площа живлення однієї рослини однакова; </w:t>
      </w:r>
    </w:p>
    <w:p w14:paraId="27A05AC5" w14:textId="77777777" w:rsidR="00242A20" w:rsidRPr="00242A20" w:rsidRDefault="00242A20" w:rsidP="00242A20">
      <w:pPr>
        <w:numPr>
          <w:ilvl w:val="0"/>
          <w:numId w:val="18"/>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якщо це рослини одного виду; </w:t>
      </w:r>
    </w:p>
    <w:p w14:paraId="4DC6FDB3" w14:textId="77777777" w:rsidR="00242A20" w:rsidRPr="00242A20" w:rsidRDefault="00242A20" w:rsidP="00242A20">
      <w:pPr>
        <w:numPr>
          <w:ilvl w:val="0"/>
          <w:numId w:val="18"/>
        </w:numPr>
        <w:spacing w:after="5" w:line="268" w:lineRule="auto"/>
        <w:ind w:right="43"/>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якщо рослини мають однакові вимоги до ґрунту. </w:t>
      </w:r>
    </w:p>
    <w:p w14:paraId="65FF9677" w14:textId="77777777" w:rsidR="00242A20" w:rsidRPr="00242A20" w:rsidRDefault="00242A20" w:rsidP="00242A20">
      <w:pPr>
        <w:spacing w:after="5" w:line="268" w:lineRule="auto"/>
        <w:ind w:right="43" w:firstLine="358"/>
        <w:jc w:val="both"/>
        <w:rPr>
          <w:rFonts w:ascii="Times New Roman" w:eastAsia="Times New Roman" w:hAnsi="Times New Roman" w:cs="Times New Roman"/>
          <w:color w:val="000000"/>
          <w:sz w:val="22"/>
          <w:lang w:eastAsia="ru-RU"/>
        </w:rPr>
      </w:pPr>
      <w:r w:rsidRPr="00242A20">
        <w:rPr>
          <w:rFonts w:ascii="Times New Roman" w:eastAsia="Times New Roman" w:hAnsi="Times New Roman" w:cs="Times New Roman"/>
          <w:color w:val="000000"/>
          <w:sz w:val="22"/>
          <w:lang w:eastAsia="ru-RU"/>
        </w:rPr>
        <w:t xml:space="preserve">17. Серед наведених схем розміщення рослин у шкілках вкажіть їх правильні назви: </w:t>
      </w:r>
    </w:p>
    <w:p w14:paraId="7677AF1B" w14:textId="77777777" w:rsidR="006E256C" w:rsidRDefault="006E256C"/>
    <w:sectPr w:rsidR="006E2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352"/>
    <w:multiLevelType w:val="hybridMultilevel"/>
    <w:tmpl w:val="8A1CD96E"/>
    <w:lvl w:ilvl="0" w:tplc="07DA709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50AF8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24B5E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36B69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4ED7B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3AF40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DECA8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BC118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16EB5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040518"/>
    <w:multiLevelType w:val="hybridMultilevel"/>
    <w:tmpl w:val="37147788"/>
    <w:lvl w:ilvl="0" w:tplc="1A42A1BE">
      <w:start w:val="2"/>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52D72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D22F0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F25D4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A47BC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2004F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86760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2278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228A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0E122D"/>
    <w:multiLevelType w:val="hybridMultilevel"/>
    <w:tmpl w:val="F24E5922"/>
    <w:lvl w:ilvl="0" w:tplc="EDDA5FE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7E132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62D03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48623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2AAD3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A6730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AC4B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EC402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7094F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9360E3"/>
    <w:multiLevelType w:val="hybridMultilevel"/>
    <w:tmpl w:val="44000C2E"/>
    <w:lvl w:ilvl="0" w:tplc="BAAAB85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5A665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AC4C7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6373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CE202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E28C6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046D2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C0894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8EFB8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7A60F3"/>
    <w:multiLevelType w:val="hybridMultilevel"/>
    <w:tmpl w:val="21B8DCB2"/>
    <w:lvl w:ilvl="0" w:tplc="1A463DC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B419B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9C75A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DE6BB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9C22A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C8417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A6827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88664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724F9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2C3BC2"/>
    <w:multiLevelType w:val="hybridMultilevel"/>
    <w:tmpl w:val="64A22774"/>
    <w:lvl w:ilvl="0" w:tplc="DB68DF2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2C615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C589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0253A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562BF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7CB50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CA78E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7A739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BC2A9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CC31AB"/>
    <w:multiLevelType w:val="hybridMultilevel"/>
    <w:tmpl w:val="56988146"/>
    <w:lvl w:ilvl="0" w:tplc="DE56364A">
      <w:start w:val="1"/>
      <w:numFmt w:val="decimal"/>
      <w:lvlText w:val="%1)"/>
      <w:lvlJc w:val="left"/>
      <w:pPr>
        <w:ind w:left="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EACCC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303DF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46F08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1AB0C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50B59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600F4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B2DE9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08957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A67E49"/>
    <w:multiLevelType w:val="hybridMultilevel"/>
    <w:tmpl w:val="0534EB5C"/>
    <w:lvl w:ilvl="0" w:tplc="CFA2371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F67C8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60405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C2346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D2B3B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D65AA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82F54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FA079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E650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182E40"/>
    <w:multiLevelType w:val="hybridMultilevel"/>
    <w:tmpl w:val="03541A88"/>
    <w:lvl w:ilvl="0" w:tplc="4BDC9AF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E208F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86C58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6A276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024B1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5C018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3A76C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94E6A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52375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91748E"/>
    <w:multiLevelType w:val="hybridMultilevel"/>
    <w:tmpl w:val="78BC6AAC"/>
    <w:lvl w:ilvl="0" w:tplc="D696D68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7ED45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7CC3D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DE4DD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3CEF3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2C731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88BFA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1A227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56B57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56A6BAE"/>
    <w:multiLevelType w:val="hybridMultilevel"/>
    <w:tmpl w:val="6C3800E2"/>
    <w:lvl w:ilvl="0" w:tplc="2B3AD1F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9283A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B4723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2C7E4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5EEEE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C67F9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123A5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02F1D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F8635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481524"/>
    <w:multiLevelType w:val="hybridMultilevel"/>
    <w:tmpl w:val="70E2FF3A"/>
    <w:lvl w:ilvl="0" w:tplc="F71A37CE">
      <w:start w:val="1"/>
      <w:numFmt w:val="decimal"/>
      <w:lvlText w:val="%1)"/>
      <w:lvlJc w:val="left"/>
      <w:pPr>
        <w:ind w:left="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22066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1A166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769D0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76804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78A9C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E6AF1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F6966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12298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5060D1E"/>
    <w:multiLevelType w:val="hybridMultilevel"/>
    <w:tmpl w:val="C374C530"/>
    <w:lvl w:ilvl="0" w:tplc="579A05A4">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CE469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FCD93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90A02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D0F06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96E98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04EB0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62072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60CF8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776E14"/>
    <w:multiLevelType w:val="hybridMultilevel"/>
    <w:tmpl w:val="6A8E2C5A"/>
    <w:lvl w:ilvl="0" w:tplc="F13AC8CC">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50667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9AD28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5287C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B0C00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CCA90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3809B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045D2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C220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234058"/>
    <w:multiLevelType w:val="hybridMultilevel"/>
    <w:tmpl w:val="452288CE"/>
    <w:lvl w:ilvl="0" w:tplc="D3D655A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CA177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0C731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B26EC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DC922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FAC8B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38347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781C1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EE7E1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24A0BB0"/>
    <w:multiLevelType w:val="hybridMultilevel"/>
    <w:tmpl w:val="007E2A08"/>
    <w:lvl w:ilvl="0" w:tplc="03FE5F2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A0491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12396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8029A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24922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B8B0D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D21F0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B418E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90041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78D40C5"/>
    <w:multiLevelType w:val="hybridMultilevel"/>
    <w:tmpl w:val="F592A4D2"/>
    <w:lvl w:ilvl="0" w:tplc="B5E22CD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14C38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580A8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34D21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BE48B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C4054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CA56F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78F31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1843B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E171CE8"/>
    <w:multiLevelType w:val="hybridMultilevel"/>
    <w:tmpl w:val="2E00432C"/>
    <w:lvl w:ilvl="0" w:tplc="5396FBF2">
      <w:start w:val="1"/>
      <w:numFmt w:val="decimal"/>
      <w:lvlText w:val="%1."/>
      <w:lvlJc w:val="left"/>
      <w:pPr>
        <w:ind w:left="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60BAA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82E86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F455B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29AD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0237B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E846C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FA1C9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D0940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93858753">
    <w:abstractNumId w:val="14"/>
  </w:num>
  <w:num w:numId="2" w16cid:durableId="997459990">
    <w:abstractNumId w:val="5"/>
  </w:num>
  <w:num w:numId="3" w16cid:durableId="1201165993">
    <w:abstractNumId w:val="12"/>
  </w:num>
  <w:num w:numId="4" w16cid:durableId="1990480502">
    <w:abstractNumId w:val="4"/>
  </w:num>
  <w:num w:numId="5" w16cid:durableId="1341129529">
    <w:abstractNumId w:val="1"/>
  </w:num>
  <w:num w:numId="6" w16cid:durableId="1562132389">
    <w:abstractNumId w:val="16"/>
  </w:num>
  <w:num w:numId="7" w16cid:durableId="1613979399">
    <w:abstractNumId w:val="7"/>
  </w:num>
  <w:num w:numId="8" w16cid:durableId="94635333">
    <w:abstractNumId w:val="10"/>
  </w:num>
  <w:num w:numId="9" w16cid:durableId="341860869">
    <w:abstractNumId w:val="6"/>
  </w:num>
  <w:num w:numId="10" w16cid:durableId="1444957944">
    <w:abstractNumId w:val="2"/>
  </w:num>
  <w:num w:numId="11" w16cid:durableId="577179555">
    <w:abstractNumId w:val="17"/>
  </w:num>
  <w:num w:numId="12" w16cid:durableId="1807703196">
    <w:abstractNumId w:val="0"/>
  </w:num>
  <w:num w:numId="13" w16cid:durableId="1954899942">
    <w:abstractNumId w:val="8"/>
  </w:num>
  <w:num w:numId="14" w16cid:durableId="1799763323">
    <w:abstractNumId w:val="3"/>
  </w:num>
  <w:num w:numId="15" w16cid:durableId="1117332250">
    <w:abstractNumId w:val="11"/>
  </w:num>
  <w:num w:numId="16" w16cid:durableId="1459954943">
    <w:abstractNumId w:val="15"/>
  </w:num>
  <w:num w:numId="17" w16cid:durableId="1250501726">
    <w:abstractNumId w:val="9"/>
  </w:num>
  <w:num w:numId="18" w16cid:durableId="609070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6C"/>
    <w:rsid w:val="00120432"/>
    <w:rsid w:val="00242A20"/>
    <w:rsid w:val="00357649"/>
    <w:rsid w:val="006E256C"/>
    <w:rsid w:val="008548FB"/>
    <w:rsid w:val="00A10590"/>
    <w:rsid w:val="00D00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675A"/>
  <w15:chartTrackingRefBased/>
  <w15:docId w15:val="{4BB2761D-D21D-4295-AF13-E27E0390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2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E2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E25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E25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E25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E25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25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25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25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5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E25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E25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E25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E25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E25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256C"/>
    <w:rPr>
      <w:rFonts w:eastAsiaTheme="majorEastAsia" w:cstheme="majorBidi"/>
      <w:color w:val="595959" w:themeColor="text1" w:themeTint="A6"/>
    </w:rPr>
  </w:style>
  <w:style w:type="character" w:customStyle="1" w:styleId="80">
    <w:name w:val="Заголовок 8 Знак"/>
    <w:basedOn w:val="a0"/>
    <w:link w:val="8"/>
    <w:uiPriority w:val="9"/>
    <w:semiHidden/>
    <w:rsid w:val="006E25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256C"/>
    <w:rPr>
      <w:rFonts w:eastAsiaTheme="majorEastAsia" w:cstheme="majorBidi"/>
      <w:color w:val="272727" w:themeColor="text1" w:themeTint="D8"/>
    </w:rPr>
  </w:style>
  <w:style w:type="paragraph" w:styleId="a3">
    <w:name w:val="Title"/>
    <w:basedOn w:val="a"/>
    <w:next w:val="a"/>
    <w:link w:val="a4"/>
    <w:uiPriority w:val="10"/>
    <w:qFormat/>
    <w:rsid w:val="006E2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25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5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25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256C"/>
    <w:pPr>
      <w:spacing w:before="160"/>
      <w:jc w:val="center"/>
    </w:pPr>
    <w:rPr>
      <w:i/>
      <w:iCs/>
      <w:color w:val="404040" w:themeColor="text1" w:themeTint="BF"/>
    </w:rPr>
  </w:style>
  <w:style w:type="character" w:customStyle="1" w:styleId="22">
    <w:name w:val="Цитата 2 Знак"/>
    <w:basedOn w:val="a0"/>
    <w:link w:val="21"/>
    <w:uiPriority w:val="29"/>
    <w:rsid w:val="006E256C"/>
    <w:rPr>
      <w:i/>
      <w:iCs/>
      <w:color w:val="404040" w:themeColor="text1" w:themeTint="BF"/>
    </w:rPr>
  </w:style>
  <w:style w:type="paragraph" w:styleId="a7">
    <w:name w:val="List Paragraph"/>
    <w:basedOn w:val="a"/>
    <w:uiPriority w:val="34"/>
    <w:qFormat/>
    <w:rsid w:val="006E256C"/>
    <w:pPr>
      <w:ind w:left="720"/>
      <w:contextualSpacing/>
    </w:pPr>
  </w:style>
  <w:style w:type="character" w:styleId="a8">
    <w:name w:val="Intense Emphasis"/>
    <w:basedOn w:val="a0"/>
    <w:uiPriority w:val="21"/>
    <w:qFormat/>
    <w:rsid w:val="006E256C"/>
    <w:rPr>
      <w:i/>
      <w:iCs/>
      <w:color w:val="2F5496" w:themeColor="accent1" w:themeShade="BF"/>
    </w:rPr>
  </w:style>
  <w:style w:type="paragraph" w:styleId="a9">
    <w:name w:val="Intense Quote"/>
    <w:basedOn w:val="a"/>
    <w:next w:val="a"/>
    <w:link w:val="aa"/>
    <w:uiPriority w:val="30"/>
    <w:qFormat/>
    <w:rsid w:val="006E2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E256C"/>
    <w:rPr>
      <w:i/>
      <w:iCs/>
      <w:color w:val="2F5496" w:themeColor="accent1" w:themeShade="BF"/>
    </w:rPr>
  </w:style>
  <w:style w:type="character" w:styleId="ab">
    <w:name w:val="Intense Reference"/>
    <w:basedOn w:val="a0"/>
    <w:uiPriority w:val="32"/>
    <w:qFormat/>
    <w:rsid w:val="006E256C"/>
    <w:rPr>
      <w:b/>
      <w:bCs/>
      <w:smallCaps/>
      <w:color w:val="2F5496" w:themeColor="accent1" w:themeShade="BF"/>
      <w:spacing w:val="5"/>
    </w:rPr>
  </w:style>
  <w:style w:type="table" w:customStyle="1" w:styleId="TableGrid">
    <w:name w:val="TableGrid"/>
    <w:rsid w:val="00242A20"/>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1284</Words>
  <Characters>7322</Characters>
  <Application>Microsoft Office Word</Application>
  <DocSecurity>0</DocSecurity>
  <Lines>61</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дубовая</dc:creator>
  <cp:keywords/>
  <dc:description/>
  <cp:lastModifiedBy>елена дубовая</cp:lastModifiedBy>
  <cp:revision>7</cp:revision>
  <dcterms:created xsi:type="dcterms:W3CDTF">2025-02-15T10:50:00Z</dcterms:created>
  <dcterms:modified xsi:type="dcterms:W3CDTF">2025-02-15T10:55:00Z</dcterms:modified>
</cp:coreProperties>
</file>