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A3" w:rsidRPr="001638A3" w:rsidRDefault="001638A3" w:rsidP="001638A3">
      <w:pPr>
        <w:pStyle w:val="a4"/>
        <w:ind w:firstLine="708"/>
        <w:contextualSpacing/>
        <w:jc w:val="center"/>
        <w:rPr>
          <w:rFonts w:ascii="Times New Roman" w:hAnsi="Times New Roman"/>
          <w:b/>
          <w:color w:val="0070C0"/>
          <w:sz w:val="32"/>
          <w:szCs w:val="28"/>
          <w:lang w:val="uk-UA"/>
        </w:rPr>
      </w:pPr>
      <w:bookmarkStart w:id="0" w:name="_GoBack"/>
      <w:r w:rsidRPr="001638A3">
        <w:rPr>
          <w:rFonts w:ascii="Times New Roman" w:hAnsi="Times New Roman"/>
          <w:b/>
          <w:color w:val="0070C0"/>
          <w:sz w:val="32"/>
          <w:szCs w:val="28"/>
          <w:lang w:val="uk-UA"/>
        </w:rPr>
        <w:t>Лекція 6</w:t>
      </w:r>
    </w:p>
    <w:bookmarkEnd w:id="0"/>
    <w:p w:rsidR="001638A3" w:rsidRPr="00D51D4F" w:rsidRDefault="001638A3" w:rsidP="001638A3">
      <w:pPr>
        <w:pStyle w:val="a4"/>
        <w:ind w:firstLine="708"/>
        <w:contextualSpacing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1638A3" w:rsidRPr="00386886" w:rsidRDefault="001638A3" w:rsidP="001638A3">
      <w:pPr>
        <w:pStyle w:val="a4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386886">
        <w:rPr>
          <w:rFonts w:ascii="Times New Roman" w:hAnsi="Times New Roman"/>
          <w:b/>
          <w:i/>
          <w:iCs/>
          <w:color w:val="FF0000"/>
          <w:spacing w:val="-1"/>
          <w:sz w:val="28"/>
          <w:szCs w:val="28"/>
          <w:lang w:val="uk-UA"/>
        </w:rPr>
        <w:t>Тема 6.</w:t>
      </w:r>
      <w:r w:rsidRPr="00386886">
        <w:rPr>
          <w:b/>
          <w:i/>
          <w:iCs/>
          <w:color w:val="FF0000"/>
          <w:spacing w:val="-1"/>
          <w:sz w:val="28"/>
          <w:szCs w:val="28"/>
          <w:lang w:val="uk-UA"/>
        </w:rPr>
        <w:t xml:space="preserve"> </w:t>
      </w:r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>Об’єктно-предметна та поняттєво-категоріальна сфера PR як науки соціальнокомунікаційного напряму</w:t>
      </w:r>
      <w:r w:rsidRPr="00386886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.</w:t>
      </w:r>
    </w:p>
    <w:p w:rsidR="001638A3" w:rsidRPr="00386886" w:rsidRDefault="001638A3" w:rsidP="001638A3">
      <w:pPr>
        <w:pStyle w:val="a4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Об’єкт дослідження науки, що вивчає соціальні комунікації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Предметна сфера науки про </w:t>
      </w:r>
      <w:r w:rsidRPr="00386886">
        <w:rPr>
          <w:rFonts w:ascii="Times New Roman" w:hAnsi="Times New Roman"/>
          <w:bCs/>
          <w:sz w:val="28"/>
          <w:szCs w:val="28"/>
        </w:rPr>
        <w:t>PR</w:t>
      </w:r>
      <w:r w:rsidRPr="0038688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</w:rPr>
        <w:t>Мета науки про зв’язки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 xml:space="preserve"> Систематизація теорії та практ</w:t>
      </w:r>
      <w:r>
        <w:rPr>
          <w:rFonts w:ascii="Times New Roman" w:hAnsi="Times New Roman"/>
          <w:sz w:val="28"/>
          <w:szCs w:val="28"/>
          <w:lang w:val="uk-UA"/>
        </w:rPr>
        <w:t>ики зі зв’язків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>П</w:t>
      </w:r>
      <w:r w:rsidRPr="00386886">
        <w:rPr>
          <w:rFonts w:ascii="Times New Roman" w:hAnsi="Times New Roman"/>
          <w:sz w:val="28"/>
          <w:szCs w:val="28"/>
        </w:rPr>
        <w:t>ізнавальна, ціннісна, прогностична, практично-перетворювальна та освітньо-виховна функції науки про зв’язки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Pr="00386886" w:rsidRDefault="001638A3" w:rsidP="001638A3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 xml:space="preserve">Поняттєво-категоріальний апарат науки про </w:t>
      </w:r>
      <w:r w:rsidRPr="00386886"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Default="001638A3" w:rsidP="001638A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A3" w:rsidRDefault="001638A3" w:rsidP="001638A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A3" w:rsidRPr="009E799F" w:rsidRDefault="001638A3" w:rsidP="001638A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 xml:space="preserve">Процес ідентифікації та легітимації науки про </w:t>
      </w:r>
      <w:r>
        <w:rPr>
          <w:rFonts w:ascii="Times New Roman" w:hAnsi="Times New Roman"/>
          <w:sz w:val="28"/>
          <w:szCs w:val="28"/>
        </w:rPr>
        <w:t>PR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загалом характеризується суперечливістю підходів до визначення її об’єктно-предметної та поняттєво-категоріальної сфер</w:t>
      </w:r>
      <w:r>
        <w:rPr>
          <w:rFonts w:ascii="Times New Roman" w:hAnsi="Times New Roman"/>
          <w:sz w:val="28"/>
          <w:szCs w:val="28"/>
          <w:lang w:val="uk-UA"/>
        </w:rPr>
        <w:t>и, підстав і загального статусу.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38A3" w:rsidRPr="00386886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063C">
        <w:rPr>
          <w:rFonts w:ascii="Times New Roman" w:hAnsi="Times New Roman"/>
          <w:sz w:val="28"/>
          <w:szCs w:val="28"/>
          <w:lang w:val="uk-UA"/>
        </w:rPr>
        <w:t>Об’єктом зв’язків з громадськістю як наукового знання є сфера діяльності паблік рилейшнз, а предметом – принципи функціонування зв’язків з громадськістю як соціальних комунікативних практик.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06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6886">
        <w:rPr>
          <w:rFonts w:ascii="Times New Roman" w:hAnsi="Times New Roman"/>
          <w:i/>
          <w:sz w:val="28"/>
          <w:szCs w:val="28"/>
        </w:rPr>
        <w:t>Мета науки про зв’язки з громадськістю,</w:t>
      </w:r>
      <w:r>
        <w:rPr>
          <w:rFonts w:ascii="Times New Roman" w:hAnsi="Times New Roman"/>
          <w:sz w:val="28"/>
          <w:szCs w:val="28"/>
        </w:rPr>
        <w:t xml:space="preserve"> як і будь-якої науки, – отримання об’єктивних знань про світ. 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i/>
          <w:sz w:val="28"/>
          <w:szCs w:val="28"/>
          <w:lang w:val="uk-UA"/>
        </w:rPr>
        <w:t>Завдання зв’язків з громадськістю як науки: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систематизація теорії та практики зі зв’язків з громадськістю, розвиток методологічних основ науки, її зв’язки з іншими науками, розробка і впровадження нових технологій, розширення сфери досліджень, оптимізація соціальних практик.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86886">
        <w:rPr>
          <w:rFonts w:ascii="Times New Roman" w:hAnsi="Times New Roman"/>
          <w:i/>
          <w:sz w:val="28"/>
          <w:szCs w:val="28"/>
        </w:rPr>
        <w:t>Основні функції науки про зв’язки з громадськістю</w:t>
      </w:r>
      <w:r>
        <w:rPr>
          <w:rFonts w:ascii="Times New Roman" w:hAnsi="Times New Roman"/>
          <w:sz w:val="28"/>
          <w:szCs w:val="28"/>
        </w:rPr>
        <w:t xml:space="preserve">: пізнавальна, ціннісна, прогностична, практично-перетворювальна та освітньо-виховна. Зв’язки з громадськістю як наукове знання оперують і власними поняттями, й термінами, запозиченими з інших наук. </w:t>
      </w:r>
    </w:p>
    <w:p w:rsidR="001638A3" w:rsidRPr="00386886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i/>
          <w:sz w:val="28"/>
          <w:szCs w:val="28"/>
          <w:lang w:val="uk-UA"/>
        </w:rPr>
        <w:t>Об’єктом науки про зв’язки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російський дослідник А. Соколов вважає соціальну комунікацію загалом, тобто всі види, рівні, форми, засоби й технології руху смислів</w:t>
      </w:r>
      <w:r>
        <w:rPr>
          <w:rFonts w:ascii="Times New Roman" w:hAnsi="Times New Roman"/>
          <w:sz w:val="28"/>
          <w:szCs w:val="28"/>
          <w:lang w:val="uk-UA"/>
        </w:rPr>
        <w:t xml:space="preserve"> в соціальному часі та просторі. </w:t>
      </w:r>
      <w:r>
        <w:rPr>
          <w:rFonts w:ascii="Times New Roman" w:hAnsi="Times New Roman"/>
          <w:sz w:val="28"/>
          <w:szCs w:val="28"/>
        </w:rPr>
        <w:t>Г. Герасимова в своїй роботі “Методологія і методи дослідження в зв’язках з громадськістю” (“Методология и методы исследования в связях с общественностью”, 2009) відзначає, що дослідження нових напрямків PR-діяльності вимагає специфічної конкретизації у визначенні об’єкта й предмета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>Об’єкт науки про зв’язки з громадськістю, на думку української дослідниці Є. Тихомирової, – це суспільні відносини, передусім, основа їх існування – соціальні комунікації. Далі вона зазначає, що: “зв’язки з громадськістю – це суспільна наука, об’єктом якої є соціальна реальність”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Pr="00386886" w:rsidRDefault="001638A3" w:rsidP="001638A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Ємельянов вважає, що об’єктом </w:t>
      </w:r>
      <w:r>
        <w:rPr>
          <w:rFonts w:ascii="Times New Roman" w:hAnsi="Times New Roman"/>
          <w:sz w:val="28"/>
          <w:szCs w:val="28"/>
        </w:rPr>
        <w:t>PR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 як науки є с</w:t>
      </w:r>
      <w:r>
        <w:rPr>
          <w:rFonts w:ascii="Times New Roman" w:hAnsi="Times New Roman"/>
          <w:sz w:val="28"/>
          <w:szCs w:val="28"/>
          <w:lang w:val="uk-UA"/>
        </w:rPr>
        <w:t>фери діяльності паблік рилейшнз</w:t>
      </w:r>
      <w:r w:rsidRPr="0038688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 Кужелева-Саган зазначає, що об’єкт пізнання для PR як науки – це соціальний комунікативний продукт, продукт людської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Узагальнюючи вищезазначене, визначаємо, що </w:t>
      </w:r>
      <w:r w:rsidRPr="00386886">
        <w:rPr>
          <w:rFonts w:ascii="Times New Roman" w:hAnsi="Times New Roman"/>
          <w:b/>
          <w:sz w:val="28"/>
          <w:szCs w:val="28"/>
        </w:rPr>
        <w:t xml:space="preserve">об’єктом науки про зв’язки з </w:t>
      </w:r>
      <w:r w:rsidRPr="00386886">
        <w:rPr>
          <w:rFonts w:ascii="Times New Roman" w:hAnsi="Times New Roman"/>
          <w:b/>
          <w:sz w:val="28"/>
          <w:szCs w:val="28"/>
        </w:rPr>
        <w:lastRenderedPageBreak/>
        <w:t xml:space="preserve">громадськістю як науки соціальнокомунікаційного напряму пропонується є соціальнокомунікаційна реальність, суспільні відносини, що реалізуються завдяки соціальній комунікації. 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386886">
        <w:rPr>
          <w:rFonts w:ascii="Times New Roman" w:hAnsi="Times New Roman"/>
          <w:b/>
          <w:sz w:val="28"/>
          <w:szCs w:val="28"/>
        </w:rPr>
        <w:t>предмету науки про зв’язки з громадськістю</w:t>
      </w:r>
      <w:r>
        <w:rPr>
          <w:rFonts w:ascii="Times New Roman" w:hAnsi="Times New Roman"/>
          <w:sz w:val="28"/>
          <w:szCs w:val="28"/>
        </w:rPr>
        <w:t xml:space="preserve"> ми відносимо відтворення даної реальності на абстрактному рівні завдяки виявленню найбільш значущих як з наукової, так і практичної точок зору закономірних зв’язків і відносин соціальнокомунікаційної реальності, оскільки предмет будь-якої науки – це не просто якесь явище чи процес об’єктивного світу, а результат теоретичного абстрагування, що дозволяє виділити ті закономірності розвитку і функціонування досліджуваного об’єкта, які є специфічними для цієї науки і ніякої іншої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Найбільш відповідає запитам теорії PR, на нашу думку, визначення професора М. Шишкіної, де предметом науки про зв’язки з громадськістю є сукупність соціальних практик, спрямованих на виробництво і відтворення ефективних публічних дискурсів. Дослідниця предмет PR як наукової дисципліни визначає так: “ предмет паблік рилейшнз розуміється як сукупність соціальних практик, спрямованих на виробництво і відтворення ефективних публічних дискурсів та оптимізацію інформаційних взаємодій між соціальними суб’єктами та їх цільовими групами”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8A3" w:rsidRPr="00AF446C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446C">
        <w:rPr>
          <w:rFonts w:ascii="Times New Roman" w:hAnsi="Times New Roman"/>
          <w:sz w:val="28"/>
          <w:szCs w:val="28"/>
          <w:lang w:val="uk-UA"/>
        </w:rPr>
        <w:t xml:space="preserve">Дослідження закономірностей, принципів і механізмів формування та функціонування зв’язків з громадськістю як соціальних комунікативних практик передбачає вивчення організованої та цілеспрямованої комунікативної взаємодії між соціальними суб’єктами. </w:t>
      </w:r>
      <w:r w:rsidRPr="009E799F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9E799F">
        <w:rPr>
          <w:rFonts w:ascii="Times New Roman" w:hAnsi="Times New Roman"/>
          <w:sz w:val="28"/>
          <w:szCs w:val="28"/>
          <w:lang w:val="uk-UA"/>
        </w:rPr>
        <w:t xml:space="preserve">Ємельянов визначає предметом науки про </w:t>
      </w:r>
      <w:r>
        <w:rPr>
          <w:rFonts w:ascii="Times New Roman" w:hAnsi="Times New Roman"/>
          <w:sz w:val="28"/>
          <w:szCs w:val="28"/>
        </w:rPr>
        <w:t>PR</w:t>
      </w:r>
      <w:r w:rsidRPr="009E799F">
        <w:rPr>
          <w:rFonts w:ascii="Times New Roman" w:hAnsi="Times New Roman"/>
          <w:sz w:val="28"/>
          <w:szCs w:val="28"/>
          <w:lang w:val="uk-UA"/>
        </w:rPr>
        <w:t xml:space="preserve"> закономірності, принципи й механізми функціонування зв’язків з громадськістю як соціальних комунікативних практикЄ.</w:t>
      </w:r>
      <w:r>
        <w:rPr>
          <w:rFonts w:ascii="Times New Roman" w:hAnsi="Times New Roman"/>
          <w:sz w:val="28"/>
          <w:szCs w:val="28"/>
        </w:rPr>
        <w:t> Тихомирова вважає, що предметом науки про зв’язки з громадськістю є “комунікації будь-яких соціальних організацій чи установ з громадськістю</w:t>
      </w:r>
      <w:proofErr w:type="gramStart"/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446C">
        <w:rPr>
          <w:rFonts w:ascii="Times New Roman" w:hAnsi="Times New Roman"/>
          <w:sz w:val="28"/>
          <w:szCs w:val="28"/>
          <w:lang w:val="uk-UA"/>
        </w:rPr>
        <w:t>Предметне поле цієї наукової дисципліни формується під впливом як комунікаційних процесів і технологій, що розвиваються і змінюють форми суспільного життя, так і під впливом розвитку соціальнокомунікаційного методу, що дозволяє по-новому проінтерпретувати реалії сучасного світу, комплекси суспільних взаємодій і подій, що розгортаються досить інтенсивно.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446C">
        <w:rPr>
          <w:rFonts w:ascii="Times New Roman" w:hAnsi="Times New Roman"/>
          <w:sz w:val="28"/>
          <w:szCs w:val="28"/>
          <w:lang w:val="uk-UA"/>
        </w:rPr>
        <w:t xml:space="preserve">В стані свого становлення знаходиться і поняттєво-категоріальний апарат науки про </w:t>
      </w:r>
      <w:r>
        <w:rPr>
          <w:rFonts w:ascii="Times New Roman" w:hAnsi="Times New Roman"/>
          <w:sz w:val="28"/>
          <w:szCs w:val="28"/>
        </w:rPr>
        <w:t>PR</w:t>
      </w:r>
      <w:r w:rsidRPr="00AF446C">
        <w:rPr>
          <w:rFonts w:ascii="Times New Roman" w:hAnsi="Times New Roman"/>
          <w:sz w:val="28"/>
          <w:szCs w:val="28"/>
          <w:lang w:val="uk-UA"/>
        </w:rPr>
        <w:t xml:space="preserve">, до основних одиниць якого ми зараховуємо: “об’єкт науки про </w:t>
      </w:r>
      <w:r>
        <w:rPr>
          <w:rFonts w:ascii="Times New Roman" w:hAnsi="Times New Roman"/>
          <w:sz w:val="28"/>
          <w:szCs w:val="28"/>
        </w:rPr>
        <w:t>PR</w:t>
      </w:r>
      <w:r w:rsidRPr="00AF446C">
        <w:rPr>
          <w:rFonts w:ascii="Times New Roman" w:hAnsi="Times New Roman"/>
          <w:sz w:val="28"/>
          <w:szCs w:val="28"/>
          <w:lang w:val="uk-UA"/>
        </w:rPr>
        <w:t xml:space="preserve">”, “предмет науки про </w:t>
      </w:r>
      <w:r>
        <w:rPr>
          <w:rFonts w:ascii="Times New Roman" w:hAnsi="Times New Roman"/>
          <w:sz w:val="28"/>
          <w:szCs w:val="28"/>
        </w:rPr>
        <w:t>PR</w:t>
      </w:r>
      <w:r w:rsidRPr="00AF446C">
        <w:rPr>
          <w:rFonts w:ascii="Times New Roman" w:hAnsi="Times New Roman"/>
          <w:sz w:val="28"/>
          <w:szCs w:val="28"/>
          <w:lang w:val="uk-UA"/>
        </w:rPr>
        <w:t xml:space="preserve">”, “суб’єкт“, “комунікація”, “громадськість”, “громадська думка”, “технологія”, “діалог”, “публіка”, “цільова аудиторія”, “соціальна реальність”. 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 теорії та практиці паблік рилейшнз одним з ключових є багатопланове поняття </w:t>
      </w:r>
      <w:r w:rsidRPr="00AF446C">
        <w:rPr>
          <w:rFonts w:ascii="Times New Roman" w:hAnsi="Times New Roman"/>
          <w:b/>
          <w:sz w:val="28"/>
          <w:szCs w:val="28"/>
        </w:rPr>
        <w:t>“громадськість”.</w:t>
      </w:r>
      <w:r>
        <w:rPr>
          <w:rFonts w:ascii="Times New Roman" w:hAnsi="Times New Roman"/>
          <w:sz w:val="28"/>
          <w:szCs w:val="28"/>
        </w:rPr>
        <w:t xml:space="preserve"> Громадськість в науковій літературі з PR розглядається і як сформована у зв’язку з певними політичними, економічними і соціальними обставинами спільнота людей (специфічна її частина, індивіди), яка усвідомлює ці обставини та однаково реагує на них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або як вільні громадяни та добровільно сформовані асоціації або організації, захищені законами від прямого втручання і свавільної регламентації </w:t>
      </w:r>
      <w:r>
        <w:rPr>
          <w:rFonts w:ascii="Times New Roman" w:hAnsi="Times New Roman"/>
          <w:sz w:val="28"/>
          <w:szCs w:val="28"/>
        </w:rPr>
        <w:lastRenderedPageBreak/>
        <w:t>діяльності цих громадян і організацій з боку державної влади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F446C">
        <w:rPr>
          <w:rFonts w:ascii="Times New Roman" w:hAnsi="Times New Roman"/>
          <w:sz w:val="28"/>
          <w:szCs w:val="28"/>
          <w:lang w:val="uk-UA"/>
        </w:rPr>
        <w:t>В Мойсеєв у своїх роботах наводить її загальне розуміння, коли під громадськістю мається на увазі будь-яка група людей (можливо, навіть й окремі індивіди), що так чи інакше пов’язана з життєдіял</w:t>
      </w:r>
      <w:r>
        <w:rPr>
          <w:rFonts w:ascii="Times New Roman" w:hAnsi="Times New Roman"/>
          <w:sz w:val="28"/>
          <w:szCs w:val="28"/>
          <w:lang w:val="uk-UA"/>
        </w:rPr>
        <w:t>ьністю організації або установи. Н</w:t>
      </w:r>
      <w:r w:rsidRPr="00AF446C">
        <w:rPr>
          <w:rFonts w:ascii="Times New Roman" w:hAnsi="Times New Roman"/>
          <w:sz w:val="28"/>
          <w:szCs w:val="28"/>
          <w:lang w:val="uk-UA"/>
        </w:rPr>
        <w:t>а думку Дж.</w:t>
      </w:r>
      <w:r>
        <w:rPr>
          <w:rFonts w:ascii="Times New Roman" w:hAnsi="Times New Roman"/>
          <w:sz w:val="28"/>
          <w:szCs w:val="28"/>
        </w:rPr>
        <w:t> </w:t>
      </w:r>
      <w:r w:rsidRPr="00AF446C">
        <w:rPr>
          <w:rFonts w:ascii="Times New Roman" w:hAnsi="Times New Roman"/>
          <w:sz w:val="28"/>
          <w:szCs w:val="28"/>
          <w:lang w:val="uk-UA"/>
        </w:rPr>
        <w:t>Дьюї, громадськість – це активне соціальне утворення, яке в певний момент об’єднує всіх тих, хто стикається із спільною проблемою і може разом шукати шляхи її розв’язання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F446C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AF446C">
        <w:rPr>
          <w:rFonts w:ascii="Times New Roman" w:hAnsi="Times New Roman"/>
          <w:sz w:val="28"/>
          <w:szCs w:val="28"/>
          <w:lang w:val="uk-UA"/>
        </w:rPr>
        <w:t xml:space="preserve">Шишкіна пропонує таке визначення громадськості: “Громадськість – це субстанціональний суб’єкт публічної сфери, який виступає як сукупність індивідів і соціальних спільнот, які функціонують у публічній сфері та якими рухають якісь загальні інтереси й цінності, що мають публічний статус”. </w:t>
      </w:r>
      <w:r>
        <w:rPr>
          <w:rFonts w:ascii="Times New Roman" w:hAnsi="Times New Roman"/>
          <w:sz w:val="28"/>
          <w:szCs w:val="28"/>
        </w:rPr>
        <w:t>Як зазначає В. Королько, з погляду теорії та практики паблік рилейшнз громадськістю у повному значенні цього слова є тільки активна група чи окремі індивіди. Будь-яка пасивність групи зв’язків з громадськістю означає, що з вини організації як такої або через прорахунки відповідальних за сферу паблик рилейшнз, в організації не все гаразд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В контексті PR це можуть бути: громада, видатні особистості, представники засобів інформації, державні службовці, клієнти тощо.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роботах С. Блека, С. Катліпа, Ф. Джефкінса представлені варіанти підходів до визначення груп громадськості в сфері паблік рилейшнз, на які також спираються українські науковці:</w:t>
      </w:r>
    </w:p>
    <w:p w:rsidR="001638A3" w:rsidRDefault="001638A3" w:rsidP="001638A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географічний, коли до уваги </w:t>
      </w:r>
      <w:r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-фахівців беруться природні або адміністративно-політичні кордони, що вказують на розташування реципієнтів </w:t>
      </w:r>
      <w:r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-комунікації. Такий підхід зручний, коли потрібно вибрати засоби інформування громадськості, розподілити ресурси на виконання </w:t>
      </w:r>
      <w:r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-програми з урахуванням ступеня густоти населення, проте дає мало корисної інформації про існуючі особливості та відмінності всередині певних громадських груп; </w:t>
      </w:r>
    </w:p>
    <w:p w:rsidR="001638A3" w:rsidRDefault="001638A3" w:rsidP="001638A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демографічний, коли до уваги спеціалістів з </w:t>
      </w:r>
      <w:r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беруться стать, вік, сімейний стан, освіта, прибуток, проте він не дозволяє зрозуміти, чому і як громадськість включена в проблемну ситуацію і чи підпадає під її вплив;</w:t>
      </w:r>
    </w:p>
    <w:p w:rsidR="001638A3" w:rsidRDefault="001638A3" w:rsidP="001638A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психографічний підхід дозволяє сегментувати громадськість на основі її “психологічної зрілості”. Застосування цього підходу дозволяє отримати дані про стиль життя і ціннісні орієнтації представників громади, проте фахівцями з паблік рилейшнз вона зазвичай використовується в єдності з іншими атрибутами, що безпосередньо пов’язані з конкретною ситуацією. 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8A3" w:rsidRPr="00AF446C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446C">
        <w:rPr>
          <w:rFonts w:ascii="Times New Roman" w:hAnsi="Times New Roman"/>
          <w:sz w:val="28"/>
          <w:szCs w:val="28"/>
          <w:lang w:val="uk-UA"/>
        </w:rPr>
        <w:t xml:space="preserve">Аналізуючи роботи таких вчених, як К. Савельєва, В. Степанов , Н. Трач, С. Фаєр, до актуальних для сфери зв’язки з громадськістю можуть бути віднесені наступні підходи до класифікації груп громадськості: </w:t>
      </w:r>
    </w:p>
    <w:p w:rsidR="001638A3" w:rsidRDefault="001638A3" w:rsidP="001638A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E799F">
        <w:rPr>
          <w:rFonts w:ascii="Times New Roman" w:hAnsi="Times New Roman"/>
          <w:sz w:val="28"/>
          <w:szCs w:val="28"/>
          <w:lang w:val="uk-UA"/>
        </w:rPr>
        <w:t xml:space="preserve">підхід “з урахуванням прихованої влади”, коли необхідно визначити тих представників громади, що не обов’язково перебувають на вершині владної піраміди, але справляють значний, хоча і непомітний зовні </w:t>
      </w:r>
      <w:r w:rsidRPr="009E799F">
        <w:rPr>
          <w:rFonts w:ascii="Times New Roman" w:hAnsi="Times New Roman"/>
          <w:sz w:val="28"/>
          <w:szCs w:val="28"/>
          <w:lang w:val="uk-UA"/>
        </w:rPr>
        <w:lastRenderedPageBreak/>
        <w:t xml:space="preserve">вплив на думки та рішення інших представників громадськості. </w:t>
      </w:r>
      <w:r>
        <w:rPr>
          <w:rFonts w:ascii="Times New Roman" w:hAnsi="Times New Roman"/>
          <w:sz w:val="28"/>
          <w:szCs w:val="28"/>
        </w:rPr>
        <w:t>Але процес ідентифікації цих людей потребує тривалого комбінованого спостереження (інтерв’ювання причетних до проблемної ситуації, аналіз документів, що відстежують та фіксують приховану владу);</w:t>
      </w:r>
    </w:p>
    <w:p w:rsidR="001638A3" w:rsidRDefault="001638A3" w:rsidP="001638A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підхід” з урахуванням становища” також дозволяє ідентифікувати цільові групи громадськості, але при цьому увага звертається на офіційний стан індивіда, а не на атрибутику його індивідуальності. За певних ситуацій люди визнаються як важливі завдяки тій ролі, яку відіграє їх становище в певних умовах, посадам, які вони обіймають. Це роблять їх важливими “гравцями” в зусиллях, спрямованих на досягнення програмних завдань та цілей зв’язків з громадськістю;</w:t>
      </w:r>
    </w:p>
    <w:p w:rsidR="001638A3" w:rsidRDefault="001638A3" w:rsidP="001638A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підхід “урахування репутації”, що визначає “знаючих” чи “впливових” індивідів, виходячи з міркувань та думки інших людей про них. До таких груп належать “лідери громадської думки”, впливові особи, які видаються іншим зацікавленими та причетними до ситуацій людьми; їх не слід плутати з групами, що користуються прихованою владою, або з тими, хто, за визначенням сторонніх до ситуації спостерігачів, вважаються лідерами думки;</w:t>
      </w:r>
    </w:p>
    <w:p w:rsidR="001638A3" w:rsidRDefault="001638A3" w:rsidP="001638A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підхід “з урахуванням членства”, коли звертається увага на місце людини в офіційному штатному розписі, списку, на її партійну належність як показники причетності до конкретної проблемної ситуації. Членство у професійній асоціації або у групі спеціального інтересу свідчить про включеність цієї особи в певне середовище. Наприклад, члени організації, як правило, можуть користуватися засобами інформації, що їй належать;</w:t>
      </w:r>
    </w:p>
    <w:p w:rsidR="001638A3" w:rsidRDefault="001638A3" w:rsidP="001638A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підхід “з урахуванням ролі в процесі прийняття рішення”, який передбачає спостереження за процесом прийняття рішень, з’ясування того, хто і яку роль відіграє у впливі на рішення за конкретних обставин, є найбільш значущим для сфери зв’язків з громадськістю. Його використання дає змогу встановити найактивніших з активних груп громадськості, тих, хто справді приймає рішення, реально діє. При цьому знання лише особистих якостей індивідів, знову ж таки, може виявитись менш важливим, ніж знання про те, як вони поводять себе в процесі прийняття рішення, пов’язаного з проблемного ситуацією.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Надані групам громадськості назви хоча і є здебільшого абстрактними, але, як правило, вони мають чіткі відповідники в соціальній реальності.</w:t>
      </w:r>
    </w:p>
    <w:p w:rsidR="001638A3" w:rsidRDefault="001638A3" w:rsidP="001638A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Найбільш поширеним й найменш корисним з погляду потреб PR-практики є поняття “загальна громадськість”. Але з огляду на те, що в розпорядженні фахівців зі зв’язків з громадськістю бюджети обмежені, вони часто змушені працювати із “загальною громадськістю”, хоча кориснішою вважається робота з окремими її сегментами. </w:t>
      </w:r>
    </w:p>
    <w:p w:rsidR="001638A3" w:rsidRPr="00AF446C" w:rsidRDefault="001638A3" w:rsidP="001638A3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F446C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AF446C">
        <w:rPr>
          <w:rFonts w:ascii="Times New Roman" w:hAnsi="Times New Roman"/>
          <w:i/>
          <w:sz w:val="28"/>
          <w:szCs w:val="28"/>
          <w:lang w:val="uk-UA"/>
        </w:rPr>
        <w:t xml:space="preserve">зв’язки з громадськістю – це самостійна наукова галузь, яка має власний об’єкт і предмет, описує соціальну реальність за допомогою своїх категорій, використовує загальнонаукові й власне спеціальні методи наукового пізнання та впливу на соціальну практику. </w:t>
      </w:r>
    </w:p>
    <w:p w:rsidR="001638A3" w:rsidRDefault="001638A3" w:rsidP="001638A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799F">
        <w:rPr>
          <w:rFonts w:ascii="Times New Roman" w:hAnsi="Times New Roman"/>
          <w:sz w:val="28"/>
          <w:szCs w:val="28"/>
          <w:lang w:val="uk-UA"/>
        </w:rPr>
        <w:lastRenderedPageBreak/>
        <w:t>Науковий дискурс зв’язків з громадськістю передбачає використання спеціального поняттєвого та категоріального апарату, який стає справжнім знаряддям теоретичного пізнання, але лише за тієї умови, якщо є не простою сукупністю, не простим набором понять і категорій, а їх цілісною системою.</w:t>
      </w:r>
    </w:p>
    <w:p w:rsidR="00926699" w:rsidRPr="001638A3" w:rsidRDefault="001638A3" w:rsidP="001638A3">
      <w:pPr>
        <w:rPr>
          <w:lang w:val="uk-UA"/>
        </w:rPr>
      </w:pPr>
    </w:p>
    <w:sectPr w:rsidR="00926699" w:rsidRPr="0016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C793E"/>
    <w:multiLevelType w:val="hybridMultilevel"/>
    <w:tmpl w:val="5218ED2E"/>
    <w:lvl w:ilvl="0" w:tplc="C0924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7C0"/>
    <w:multiLevelType w:val="hybridMultilevel"/>
    <w:tmpl w:val="C3C0451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76FE"/>
    <w:multiLevelType w:val="hybridMultilevel"/>
    <w:tmpl w:val="87C63D18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12FB"/>
    <w:multiLevelType w:val="hybridMultilevel"/>
    <w:tmpl w:val="23BE8F34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70F"/>
    <w:multiLevelType w:val="hybridMultilevel"/>
    <w:tmpl w:val="8514E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2C3CA4"/>
    <w:multiLevelType w:val="hybridMultilevel"/>
    <w:tmpl w:val="628C334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728F4"/>
    <w:multiLevelType w:val="hybridMultilevel"/>
    <w:tmpl w:val="C25A720E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E1F59"/>
    <w:multiLevelType w:val="hybridMultilevel"/>
    <w:tmpl w:val="44E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5A68"/>
    <w:multiLevelType w:val="hybridMultilevel"/>
    <w:tmpl w:val="B8B21392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2D20"/>
    <w:multiLevelType w:val="hybridMultilevel"/>
    <w:tmpl w:val="AAD8BA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E4924"/>
    <w:multiLevelType w:val="hybridMultilevel"/>
    <w:tmpl w:val="58867C4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7F38"/>
    <w:multiLevelType w:val="hybridMultilevel"/>
    <w:tmpl w:val="A20C24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2F51"/>
    <w:multiLevelType w:val="hybridMultilevel"/>
    <w:tmpl w:val="FEF21B8A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7E"/>
    <w:rsid w:val="001638A3"/>
    <w:rsid w:val="003C562A"/>
    <w:rsid w:val="00434006"/>
    <w:rsid w:val="00745A68"/>
    <w:rsid w:val="0086560B"/>
    <w:rsid w:val="00960806"/>
    <w:rsid w:val="00BE6C08"/>
    <w:rsid w:val="00C47F1B"/>
    <w:rsid w:val="00D0277E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0D1"/>
  <w15:chartTrackingRefBased/>
  <w15:docId w15:val="{447BE0CD-104A-400A-B91A-13D7B12C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7E"/>
    <w:pPr>
      <w:ind w:left="720"/>
      <w:contextualSpacing/>
    </w:pPr>
  </w:style>
  <w:style w:type="paragraph" w:styleId="a4">
    <w:name w:val="No Spacing"/>
    <w:qFormat/>
    <w:rsid w:val="00D027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F733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F733F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hps">
    <w:name w:val="hps"/>
    <w:rsid w:val="0043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2016-09-18T14:09:00Z</dcterms:created>
  <dcterms:modified xsi:type="dcterms:W3CDTF">2016-09-18T14:41:00Z</dcterms:modified>
</cp:coreProperties>
</file>