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63127" w14:textId="77777777" w:rsidR="006976CF" w:rsidRPr="009F77C3" w:rsidRDefault="006976CF" w:rsidP="00530407">
      <w:pPr>
        <w:jc w:val="center"/>
        <w:rPr>
          <w:rFonts w:ascii="Times New Roman" w:hAnsi="Times New Roman" w:cs="Times New Roman"/>
          <w:sz w:val="28"/>
          <w:szCs w:val="28"/>
          <w:lang w:val="uk-UA"/>
        </w:rPr>
      </w:pPr>
      <w:bookmarkStart w:id="0" w:name="_GoBack"/>
      <w:r>
        <w:rPr>
          <w:rFonts w:ascii="Times New Roman" w:hAnsi="Times New Roman" w:cs="Times New Roman"/>
          <w:b/>
          <w:bCs/>
          <w:sz w:val="28"/>
          <w:szCs w:val="28"/>
          <w:lang w:val="uk-UA"/>
        </w:rPr>
        <w:t>ТЕМА</w:t>
      </w:r>
      <w:r w:rsidRPr="009F77C3">
        <w:rPr>
          <w:rFonts w:ascii="Times New Roman" w:hAnsi="Times New Roman" w:cs="Times New Roman"/>
          <w:b/>
          <w:bCs/>
          <w:sz w:val="28"/>
          <w:szCs w:val="28"/>
          <w:lang w:val="uk-UA"/>
        </w:rPr>
        <w:t xml:space="preserve"> 3. РЕСУРСНА БАЗА БАНКІВ ТА ЇЇ ФОРМУВАННЯ</w:t>
      </w:r>
      <w:bookmarkEnd w:id="0"/>
    </w:p>
    <w:p w14:paraId="11A7FA0F" w14:textId="77777777" w:rsidR="0044358C" w:rsidRPr="0044358C" w:rsidRDefault="0044358C" w:rsidP="00530407">
      <w:pPr>
        <w:jc w:val="center"/>
        <w:rPr>
          <w:rFonts w:ascii="Times New Roman" w:hAnsi="Times New Roman" w:cs="Times New Roman"/>
          <w:b/>
          <w:bCs/>
          <w:sz w:val="28"/>
          <w:szCs w:val="28"/>
          <w:lang w:val="uk-UA"/>
        </w:rPr>
      </w:pPr>
      <w:r w:rsidRPr="0044358C">
        <w:rPr>
          <w:rFonts w:ascii="Times New Roman" w:hAnsi="Times New Roman" w:cs="Times New Roman"/>
          <w:b/>
          <w:bCs/>
          <w:sz w:val="28"/>
          <w:szCs w:val="28"/>
          <w:lang w:val="uk-UA"/>
        </w:rPr>
        <w:t>Сучасне розуміння ресурсної бази банків</w:t>
      </w:r>
    </w:p>
    <w:p w14:paraId="7430DACD" w14:textId="45D46D67" w:rsidR="0044358C" w:rsidRPr="0044358C" w:rsidRDefault="0044358C" w:rsidP="00530407">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Сьогодні ресурсна база банку формується в умовах цифрової трансформації фінансового сектору. Поширення інтернет-банкінгу та фінтех-продуктів змінило поведінку вкладників: кошти можна миттєво переводити між установами через мобільні додатки, що підвищує мобільність депозитів і зменшує їх стабільність. Поява необанків (цифрових банків без фізичних відділень) продемонструвала переваги нових технологій, але й виклики – зокрема, утримання стабільної депозитної бази. Такі банки часто пропонують привабливі онлайн-сервіси, проте клієнти можуть легко перевести кошти в разі вигідніших умов у конкурента. Водночас фінтех-компанії, що не мають статусу банку, покладаються на венчурний капітал або інвесторів; як показала ситуація на початку пандемії, відсутність доступу до класичних депозитів зробила деякі з них вразливими – фінтехи, залежні від фінансування інвесторів, стикнулися з труднощами залучення коштів у перші місяці кризи. Це підтверджує важливість традиційної ресурсної бази банку (депозити населення і бізнесу) навіть у цифрову еру.</w:t>
      </w:r>
    </w:p>
    <w:p w14:paraId="1146E402" w14:textId="0175D9A5" w:rsidR="0044358C" w:rsidRPr="0044358C" w:rsidRDefault="0044358C" w:rsidP="00530407">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Ресурсна база сучасних банків все більше залежить від глобальних фінансових ринків. Інтеграція фінансових систем дозволила банкам залучати кошти за межами власної країни – через міжбанківські кредити, євробонди, та кредити від материнських структур для дочірніх банків. Перед світовою фінансовою кризою 2008 р. спостерігався бум транскордонних потоків: наприклад, на кінець 2014 р. обсяг міжнародних вимог банків із чотирьох фінансових центрів (США, єврозона, Велика Британія, Японія) був більш ніж удвічі більшим за аналогічний показник інших банків. Глобалізація відкриває нові джерела ліквідності, але й створює ризики "переливів" капіталу: зовнішні запозичення можуть швидко скорочуватися при змінах монетарної політики провідних країн або підвищенні глобальної ризиковості. Для банків України це означає можливість доступу до ресурсів міжнародних ринків та фінансових груп, але й залежність від кон’юнктури (наприклад, зміни курсу долара чи євро, відплив капіталу з ринків, що розвиваються).</w:t>
      </w:r>
    </w:p>
    <w:p w14:paraId="67A5EC2D" w14:textId="212B3E86" w:rsidR="0044358C" w:rsidRPr="0044358C" w:rsidRDefault="0044358C" w:rsidP="00530407">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Окрім традиційних депозитів і міжбанківських позик, з’являються інноваційні форми поповнення ресурсної бази. Банки експериментують із </w:t>
      </w:r>
      <w:r w:rsidRPr="0044358C">
        <w:rPr>
          <w:rFonts w:ascii="Times New Roman" w:hAnsi="Times New Roman" w:cs="Times New Roman"/>
          <w:sz w:val="28"/>
          <w:szCs w:val="28"/>
          <w:lang w:val="uk-UA"/>
        </w:rPr>
        <w:lastRenderedPageBreak/>
        <w:t xml:space="preserve">залученням коштів через фінтех-платформи: з’явилися </w:t>
      </w:r>
      <w:r w:rsidRPr="00530407">
        <w:rPr>
          <w:rFonts w:ascii="Times New Roman" w:hAnsi="Times New Roman" w:cs="Times New Roman"/>
          <w:sz w:val="28"/>
          <w:szCs w:val="28"/>
          <w:lang w:val="uk-UA"/>
        </w:rPr>
        <w:t>маркетплейси депозитів</w:t>
      </w:r>
      <w:r w:rsidRPr="0044358C">
        <w:rPr>
          <w:rFonts w:ascii="Times New Roman" w:hAnsi="Times New Roman" w:cs="Times New Roman"/>
          <w:sz w:val="28"/>
          <w:szCs w:val="28"/>
          <w:lang w:val="uk-UA"/>
        </w:rPr>
        <w:t xml:space="preserve">, які поєднують вкладників і банки по всій Європі. Наприклад, платформи Raisin та Deposit Solutions об’єдналися в 2021 р. у фінтех-групу Raisin DS, яка співпрацює з понад 400 банками у 30 країнах і надає доступ 550 тисячам клієнтів до вигідних депозитів. Через такі платформи банки можуть залучати внески від іноземних вкладників, розширюючи географію ресурсної бази. Інша тенденція – </w:t>
      </w:r>
      <w:r w:rsidRPr="00530407">
        <w:rPr>
          <w:rFonts w:ascii="Times New Roman" w:hAnsi="Times New Roman" w:cs="Times New Roman"/>
          <w:sz w:val="28"/>
          <w:szCs w:val="28"/>
          <w:lang w:val="uk-UA"/>
        </w:rPr>
        <w:t>краудфандинг для банків</w:t>
      </w:r>
      <w:r w:rsidRPr="0044358C">
        <w:rPr>
          <w:rFonts w:ascii="Times New Roman" w:hAnsi="Times New Roman" w:cs="Times New Roman"/>
          <w:sz w:val="28"/>
          <w:szCs w:val="28"/>
          <w:lang w:val="uk-UA"/>
        </w:rPr>
        <w:t>. Хоча традиційно краудфандинг застосовувався для стартапів, деякі нові банки успішно використовують його для збільшення власного капіталу. Показовим є приклад британського цифрового банку Monzo: у 2016 році він залучив £1 млн від роздрібних інвесторів всього за 96 секунд, а в 2018 році – £20 млн менш ніж за 3 години від 36 тисяч клієнтів, які отримали змогу придбати частку в банку через мобільний додаток. Це найбільша на той час краудфандинг-кампанія у фінтех-секторі Великобританії, що демонструє нові можливості формування ресурсів банку за рахунок широкого кола інвесторів. Таким чином, цифровізація і глобалізація розширили інструментарій банків у формуванні ресурсної бази, але водночас підсилили вимоги до управління ризиками ліквідності та стабільності фінансування.</w:t>
      </w:r>
    </w:p>
    <w:p w14:paraId="6362772D" w14:textId="77777777" w:rsidR="0044358C" w:rsidRPr="0044358C" w:rsidRDefault="0044358C" w:rsidP="00530407">
      <w:pPr>
        <w:jc w:val="center"/>
        <w:rPr>
          <w:rFonts w:ascii="Times New Roman" w:hAnsi="Times New Roman" w:cs="Times New Roman"/>
          <w:b/>
          <w:bCs/>
          <w:sz w:val="28"/>
          <w:szCs w:val="28"/>
          <w:lang w:val="uk-UA"/>
        </w:rPr>
      </w:pPr>
      <w:r w:rsidRPr="0044358C">
        <w:rPr>
          <w:rFonts w:ascii="Times New Roman" w:hAnsi="Times New Roman" w:cs="Times New Roman"/>
          <w:b/>
          <w:bCs/>
          <w:sz w:val="28"/>
          <w:szCs w:val="28"/>
          <w:lang w:val="uk-UA"/>
        </w:rPr>
        <w:t>Структура пасивів банку</w:t>
      </w:r>
    </w:p>
    <w:p w14:paraId="5382EAB7" w14:textId="130A5B46" w:rsidR="0044358C" w:rsidRPr="0044358C" w:rsidRDefault="0044358C" w:rsidP="00530407">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Пасиви банку – це джерела фінансування його активних операцій. Сюди відносяться </w:t>
      </w:r>
      <w:r w:rsidRPr="00530407">
        <w:rPr>
          <w:rFonts w:ascii="Times New Roman" w:hAnsi="Times New Roman" w:cs="Times New Roman"/>
          <w:sz w:val="28"/>
          <w:szCs w:val="28"/>
          <w:lang w:val="uk-UA"/>
        </w:rPr>
        <w:t>власний капітал</w:t>
      </w:r>
      <w:r w:rsidRPr="0044358C">
        <w:rPr>
          <w:rFonts w:ascii="Times New Roman" w:hAnsi="Times New Roman" w:cs="Times New Roman"/>
          <w:sz w:val="28"/>
          <w:szCs w:val="28"/>
          <w:lang w:val="uk-UA"/>
        </w:rPr>
        <w:t xml:space="preserve">, </w:t>
      </w:r>
      <w:r w:rsidRPr="00530407">
        <w:rPr>
          <w:rFonts w:ascii="Times New Roman" w:hAnsi="Times New Roman" w:cs="Times New Roman"/>
          <w:sz w:val="28"/>
          <w:szCs w:val="28"/>
          <w:lang w:val="uk-UA"/>
        </w:rPr>
        <w:t>депозити клієнтів</w:t>
      </w:r>
      <w:r w:rsidRPr="0044358C">
        <w:rPr>
          <w:rFonts w:ascii="Times New Roman" w:hAnsi="Times New Roman" w:cs="Times New Roman"/>
          <w:sz w:val="28"/>
          <w:szCs w:val="28"/>
          <w:lang w:val="uk-UA"/>
        </w:rPr>
        <w:t xml:space="preserve"> (фізичних осіб та корпоративних клієнтів), </w:t>
      </w:r>
      <w:r w:rsidRPr="00530407">
        <w:rPr>
          <w:rFonts w:ascii="Times New Roman" w:hAnsi="Times New Roman" w:cs="Times New Roman"/>
          <w:sz w:val="28"/>
          <w:szCs w:val="28"/>
          <w:lang w:val="uk-UA"/>
        </w:rPr>
        <w:t>боргові зобов’язання</w:t>
      </w:r>
      <w:r w:rsidRPr="0044358C">
        <w:rPr>
          <w:rFonts w:ascii="Times New Roman" w:hAnsi="Times New Roman" w:cs="Times New Roman"/>
          <w:sz w:val="28"/>
          <w:szCs w:val="28"/>
          <w:lang w:val="uk-UA"/>
        </w:rPr>
        <w:t xml:space="preserve"> (облігації, кредити інших фінансових установ), а також </w:t>
      </w:r>
      <w:r w:rsidRPr="00530407">
        <w:rPr>
          <w:rFonts w:ascii="Times New Roman" w:hAnsi="Times New Roman" w:cs="Times New Roman"/>
          <w:sz w:val="28"/>
          <w:szCs w:val="28"/>
          <w:lang w:val="uk-UA"/>
        </w:rPr>
        <w:t>інші зобов’язання</w:t>
      </w:r>
      <w:r w:rsidRPr="0044358C">
        <w:rPr>
          <w:rFonts w:ascii="Times New Roman" w:hAnsi="Times New Roman" w:cs="Times New Roman"/>
          <w:sz w:val="28"/>
          <w:szCs w:val="28"/>
          <w:lang w:val="uk-UA"/>
        </w:rPr>
        <w:t xml:space="preserve"> (наприклад, розрахунки з кредиторами, зобов’язання перед центральним банком тощо). У структурі пасивів комерційних банків традиційно домінують депозити – особливо в роздрібно орієнтованих банках. За даними Європейського банківського управління (EBA), станом на 2-й квартал 2024 року депозити домогосподарств є найбільшим компонентом пасивів банків ЄС – близько </w:t>
      </w:r>
      <w:r w:rsidRPr="00530407">
        <w:rPr>
          <w:rFonts w:ascii="Times New Roman" w:hAnsi="Times New Roman" w:cs="Times New Roman"/>
          <w:sz w:val="28"/>
          <w:szCs w:val="28"/>
          <w:lang w:val="uk-UA"/>
        </w:rPr>
        <w:t>31% від загального обсягу зобов’язань</w:t>
      </w:r>
      <w:r w:rsidRPr="0044358C">
        <w:rPr>
          <w:rFonts w:ascii="Times New Roman" w:hAnsi="Times New Roman" w:cs="Times New Roman"/>
          <w:sz w:val="28"/>
          <w:szCs w:val="28"/>
          <w:lang w:val="uk-UA"/>
        </w:rPr>
        <w:t xml:space="preserve">. Депозити нефінансових корпорацій становлять ще ~16,7% пасивів. Тобто сумарно клієнтські кошти (вклади населення і бізнесу) формують майже половину ресурсної бази середньостатистичного європейського банку. Частка </w:t>
      </w:r>
      <w:r w:rsidRPr="00530407">
        <w:rPr>
          <w:rFonts w:ascii="Times New Roman" w:hAnsi="Times New Roman" w:cs="Times New Roman"/>
          <w:sz w:val="28"/>
          <w:szCs w:val="28"/>
          <w:lang w:val="uk-UA"/>
        </w:rPr>
        <w:t>власного капіталу</w:t>
      </w:r>
      <w:r w:rsidRPr="0044358C">
        <w:rPr>
          <w:rFonts w:ascii="Times New Roman" w:hAnsi="Times New Roman" w:cs="Times New Roman"/>
          <w:sz w:val="28"/>
          <w:szCs w:val="28"/>
          <w:lang w:val="uk-UA"/>
        </w:rPr>
        <w:t xml:space="preserve"> (акціонерного капіталу та нерозподіленого прибутку) зазвичай коливається в межах 8–15% пасивів, залежно від вимог до достатності капіталу та стратегії банку щодо капіталізації. Решту формують </w:t>
      </w:r>
      <w:r w:rsidRPr="00530407">
        <w:rPr>
          <w:rFonts w:ascii="Times New Roman" w:hAnsi="Times New Roman" w:cs="Times New Roman"/>
          <w:sz w:val="28"/>
          <w:szCs w:val="28"/>
          <w:lang w:val="uk-UA"/>
        </w:rPr>
        <w:t>запозичені кошти на ринках</w:t>
      </w:r>
      <w:r w:rsidRPr="0044358C">
        <w:rPr>
          <w:rFonts w:ascii="Times New Roman" w:hAnsi="Times New Roman" w:cs="Times New Roman"/>
          <w:sz w:val="28"/>
          <w:szCs w:val="28"/>
          <w:lang w:val="uk-UA"/>
        </w:rPr>
        <w:t xml:space="preserve">. Зокрема, </w:t>
      </w:r>
      <w:r w:rsidRPr="00530407">
        <w:rPr>
          <w:rFonts w:ascii="Times New Roman" w:hAnsi="Times New Roman" w:cs="Times New Roman"/>
          <w:sz w:val="28"/>
          <w:szCs w:val="28"/>
          <w:lang w:val="uk-UA"/>
        </w:rPr>
        <w:t>облігації</w:t>
      </w:r>
      <w:r w:rsidRPr="0044358C">
        <w:rPr>
          <w:rFonts w:ascii="Times New Roman" w:hAnsi="Times New Roman" w:cs="Times New Roman"/>
          <w:sz w:val="28"/>
          <w:szCs w:val="28"/>
          <w:lang w:val="uk-UA"/>
        </w:rPr>
        <w:t xml:space="preserve"> та інші боргові цінні папери, випущені банками, </w:t>
      </w:r>
      <w:r w:rsidRPr="0044358C">
        <w:rPr>
          <w:rFonts w:ascii="Times New Roman" w:hAnsi="Times New Roman" w:cs="Times New Roman"/>
          <w:sz w:val="28"/>
          <w:szCs w:val="28"/>
          <w:lang w:val="uk-UA"/>
        </w:rPr>
        <w:lastRenderedPageBreak/>
        <w:t xml:space="preserve">в середньому складають близько </w:t>
      </w:r>
      <w:r w:rsidRPr="00530407">
        <w:rPr>
          <w:rFonts w:ascii="Times New Roman" w:hAnsi="Times New Roman" w:cs="Times New Roman"/>
          <w:sz w:val="28"/>
          <w:szCs w:val="28"/>
          <w:lang w:val="uk-UA"/>
        </w:rPr>
        <w:t>20% пасивів банків ЄС</w:t>
      </w:r>
      <w:r w:rsidRPr="0044358C">
        <w:rPr>
          <w:rFonts w:ascii="Times New Roman" w:hAnsi="Times New Roman" w:cs="Times New Roman"/>
          <w:sz w:val="28"/>
          <w:szCs w:val="28"/>
          <w:lang w:val="uk-UA"/>
        </w:rPr>
        <w:t xml:space="preserve">. Значну роль у розвинених країнах відіграють </w:t>
      </w:r>
      <w:r w:rsidRPr="00530407">
        <w:rPr>
          <w:rFonts w:ascii="Times New Roman" w:hAnsi="Times New Roman" w:cs="Times New Roman"/>
          <w:sz w:val="28"/>
          <w:szCs w:val="28"/>
          <w:lang w:val="uk-UA"/>
        </w:rPr>
        <w:t>іпотечні облігації (covered bonds)</w:t>
      </w:r>
      <w:r w:rsidRPr="0044358C">
        <w:rPr>
          <w:rFonts w:ascii="Times New Roman" w:hAnsi="Times New Roman" w:cs="Times New Roman"/>
          <w:sz w:val="28"/>
          <w:szCs w:val="28"/>
          <w:lang w:val="uk-UA"/>
        </w:rPr>
        <w:t xml:space="preserve">, які дозволяють довгостроково залучати ресурси під забезпеченням іпотечних кредитів. Окрім цього, банки можуть мати </w:t>
      </w:r>
      <w:r w:rsidRPr="00530407">
        <w:rPr>
          <w:rFonts w:ascii="Times New Roman" w:hAnsi="Times New Roman" w:cs="Times New Roman"/>
          <w:sz w:val="28"/>
          <w:szCs w:val="28"/>
          <w:lang w:val="uk-UA"/>
        </w:rPr>
        <w:t>міжбанківські кредити та репо</w:t>
      </w:r>
      <w:r w:rsidRPr="0044358C">
        <w:rPr>
          <w:rFonts w:ascii="Times New Roman" w:hAnsi="Times New Roman" w:cs="Times New Roman"/>
          <w:sz w:val="28"/>
          <w:szCs w:val="28"/>
          <w:lang w:val="uk-UA"/>
        </w:rPr>
        <w:t xml:space="preserve"> (у звітах EBA вони відображені як “інші депозити, включно з депозитами фінансових установ”), які теж помітно доповнюють структуру ресурсів (у ЄС їх обсяг зріс ~на 2% рік до року).</w:t>
      </w:r>
    </w:p>
    <w:p w14:paraId="60734180" w14:textId="0F5C3B13" w:rsidR="0044358C" w:rsidRPr="0044358C" w:rsidRDefault="0044358C" w:rsidP="00530407">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Структура пасивів суттєво залежить від бізнес-моделі банку та ринкового середовища. У країнах з банкоцентричними фінансовими системами (як-от Україна чи Німеччина) частка депозитів у фінансуванні банків дуже висока, тоді як на ринках з розвинутим ринковим фінансуванням банки більше покладаються на випуск боргових інструментів. Наприклад, EBA зазначає, що банки Східної Європи, Балтії, а також Кіпру, Греції, Мальти і Португалії </w:t>
      </w:r>
      <w:r w:rsidRPr="00530407">
        <w:rPr>
          <w:rFonts w:ascii="Times New Roman" w:hAnsi="Times New Roman" w:cs="Times New Roman"/>
          <w:sz w:val="28"/>
          <w:szCs w:val="28"/>
          <w:lang w:val="uk-UA"/>
        </w:rPr>
        <w:t>«значною мірою покладаються на депозити домогосподарств»</w:t>
      </w:r>
      <w:r w:rsidRPr="0044358C">
        <w:rPr>
          <w:rFonts w:ascii="Times New Roman" w:hAnsi="Times New Roman" w:cs="Times New Roman"/>
          <w:sz w:val="28"/>
          <w:szCs w:val="28"/>
          <w:lang w:val="uk-UA"/>
        </w:rPr>
        <w:t xml:space="preserve">, тоді як банки інших країн ЄС мають </w:t>
      </w:r>
      <w:r w:rsidRPr="00530407">
        <w:rPr>
          <w:rFonts w:ascii="Times New Roman" w:hAnsi="Times New Roman" w:cs="Times New Roman"/>
          <w:sz w:val="28"/>
          <w:szCs w:val="28"/>
          <w:lang w:val="uk-UA"/>
        </w:rPr>
        <w:t>«вищу залежність від ринкового фінансування»</w:t>
      </w:r>
      <w:r w:rsidRPr="0044358C">
        <w:rPr>
          <w:rFonts w:ascii="Times New Roman" w:hAnsi="Times New Roman" w:cs="Times New Roman"/>
          <w:sz w:val="28"/>
          <w:szCs w:val="28"/>
          <w:lang w:val="uk-UA"/>
        </w:rPr>
        <w:t xml:space="preserve">. Ця різниця обумовлена історичними і структурними чинниками: довіра населення до банків, розвиток фондового ринку, наявність інституційних інвесторів. У США, де ринки капіталу розвинені сильніше, великі банки поряд із депозитами активно використовують </w:t>
      </w:r>
      <w:r w:rsidRPr="00530407">
        <w:rPr>
          <w:rFonts w:ascii="Times New Roman" w:hAnsi="Times New Roman" w:cs="Times New Roman"/>
          <w:sz w:val="28"/>
          <w:szCs w:val="28"/>
          <w:lang w:val="uk-UA"/>
        </w:rPr>
        <w:t>оптове фінансування</w:t>
      </w:r>
      <w:r w:rsidRPr="0044358C">
        <w:rPr>
          <w:rFonts w:ascii="Times New Roman" w:hAnsi="Times New Roman" w:cs="Times New Roman"/>
          <w:sz w:val="28"/>
          <w:szCs w:val="28"/>
          <w:lang w:val="uk-UA"/>
        </w:rPr>
        <w:t xml:space="preserve"> (wholesale funding) – залучають кошти через випуск облігацій, комерційні папери, позики від грошових фондів. Проте глобальний тренд останніх років – </w:t>
      </w:r>
      <w:r w:rsidRPr="00530407">
        <w:rPr>
          <w:rFonts w:ascii="Times New Roman" w:hAnsi="Times New Roman" w:cs="Times New Roman"/>
          <w:sz w:val="28"/>
          <w:szCs w:val="28"/>
          <w:lang w:val="uk-UA"/>
        </w:rPr>
        <w:t>зміцнення депозитної бази</w:t>
      </w:r>
      <w:r w:rsidRPr="0044358C">
        <w:rPr>
          <w:rFonts w:ascii="Times New Roman" w:hAnsi="Times New Roman" w:cs="Times New Roman"/>
          <w:sz w:val="28"/>
          <w:szCs w:val="28"/>
          <w:lang w:val="uk-UA"/>
        </w:rPr>
        <w:t xml:space="preserve">. Під час пандемії 2020–2021 рр. на тлі стимулюючої політики центральних банків обсяг депозитів у світовій банківській системі різко зріс (сукупні депозитні зобов’язання банків у світі зросли з $86 трлн до $100 трлн лише протягом 2020 року), тоді як залежність від центральних банківських кредитів та інших зобов’язань тимчасово зросла, а згодом поступово знижується. Зі свого боку, регулятори заохочують банки до більшої </w:t>
      </w:r>
      <w:r w:rsidRPr="00530407">
        <w:rPr>
          <w:rFonts w:ascii="Times New Roman" w:hAnsi="Times New Roman" w:cs="Times New Roman"/>
          <w:sz w:val="28"/>
          <w:szCs w:val="28"/>
          <w:lang w:val="uk-UA"/>
        </w:rPr>
        <w:t>диверсифікації пасивів</w:t>
      </w:r>
      <w:r w:rsidRPr="0044358C">
        <w:rPr>
          <w:rFonts w:ascii="Times New Roman" w:hAnsi="Times New Roman" w:cs="Times New Roman"/>
          <w:sz w:val="28"/>
          <w:szCs w:val="28"/>
          <w:lang w:val="uk-UA"/>
        </w:rPr>
        <w:t xml:space="preserve"> – як за інструментами (щоб не залежати від одного джерела), так і за строками (щоб уникнути короткострокового характеру всієї ресурсної бази). В цілому, </w:t>
      </w:r>
      <w:r w:rsidRPr="00530407">
        <w:rPr>
          <w:rFonts w:ascii="Times New Roman" w:hAnsi="Times New Roman" w:cs="Times New Roman"/>
          <w:sz w:val="28"/>
          <w:szCs w:val="28"/>
          <w:lang w:val="uk-UA"/>
        </w:rPr>
        <w:t>стійкість структури пасивів</w:t>
      </w:r>
      <w:r w:rsidRPr="0044358C">
        <w:rPr>
          <w:rFonts w:ascii="Times New Roman" w:hAnsi="Times New Roman" w:cs="Times New Roman"/>
          <w:sz w:val="28"/>
          <w:szCs w:val="28"/>
          <w:lang w:val="uk-UA"/>
        </w:rPr>
        <w:t xml:space="preserve"> визначається збалансованістю між стабільними коштами (капітал, довгострокові депозити, облігації) та гнучкістю залучення додаткової ліквідності на ринку при потребі.</w:t>
      </w:r>
    </w:p>
    <w:p w14:paraId="404E4E04" w14:textId="77777777" w:rsidR="00D13782" w:rsidRDefault="00D13782" w:rsidP="00530407">
      <w:pPr>
        <w:jc w:val="center"/>
        <w:rPr>
          <w:rFonts w:ascii="Times New Roman" w:hAnsi="Times New Roman" w:cs="Times New Roman"/>
          <w:b/>
          <w:bCs/>
          <w:sz w:val="28"/>
          <w:szCs w:val="28"/>
          <w:lang w:val="en-US"/>
        </w:rPr>
      </w:pPr>
    </w:p>
    <w:p w14:paraId="6B4C68DE" w14:textId="77777777" w:rsidR="00D13782" w:rsidRDefault="00D13782" w:rsidP="00530407">
      <w:pPr>
        <w:jc w:val="center"/>
        <w:rPr>
          <w:rFonts w:ascii="Times New Roman" w:hAnsi="Times New Roman" w:cs="Times New Roman"/>
          <w:b/>
          <w:bCs/>
          <w:sz w:val="28"/>
          <w:szCs w:val="28"/>
          <w:lang w:val="en-US"/>
        </w:rPr>
      </w:pPr>
    </w:p>
    <w:p w14:paraId="40A4AF3B" w14:textId="1713BD28" w:rsidR="0044358C" w:rsidRPr="0044358C" w:rsidRDefault="0044358C" w:rsidP="00530407">
      <w:pPr>
        <w:jc w:val="center"/>
        <w:rPr>
          <w:rFonts w:ascii="Times New Roman" w:hAnsi="Times New Roman" w:cs="Times New Roman"/>
          <w:b/>
          <w:bCs/>
          <w:sz w:val="28"/>
          <w:szCs w:val="28"/>
          <w:lang w:val="uk-UA"/>
        </w:rPr>
      </w:pPr>
      <w:r w:rsidRPr="0044358C">
        <w:rPr>
          <w:rFonts w:ascii="Times New Roman" w:hAnsi="Times New Roman" w:cs="Times New Roman"/>
          <w:b/>
          <w:bCs/>
          <w:sz w:val="28"/>
          <w:szCs w:val="28"/>
          <w:lang w:val="uk-UA"/>
        </w:rPr>
        <w:lastRenderedPageBreak/>
        <w:t>Методи формування залучених ресурсів</w:t>
      </w:r>
    </w:p>
    <w:p w14:paraId="08E33B36" w14:textId="6053114B"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Під </w:t>
      </w:r>
      <w:r w:rsidRPr="00D13782">
        <w:rPr>
          <w:rFonts w:ascii="Times New Roman" w:hAnsi="Times New Roman" w:cs="Times New Roman"/>
          <w:sz w:val="28"/>
          <w:szCs w:val="28"/>
          <w:lang w:val="uk-UA"/>
        </w:rPr>
        <w:t>залученими ресурсами</w:t>
      </w:r>
      <w:r w:rsidRPr="0044358C">
        <w:rPr>
          <w:rFonts w:ascii="Times New Roman" w:hAnsi="Times New Roman" w:cs="Times New Roman"/>
          <w:sz w:val="28"/>
          <w:szCs w:val="28"/>
          <w:lang w:val="uk-UA"/>
        </w:rPr>
        <w:t xml:space="preserve"> зазвичай розуміють кошти клієнтів, передані банку на зберігання чи інвестування – передусім </w:t>
      </w:r>
      <w:r w:rsidRPr="00D13782">
        <w:rPr>
          <w:rFonts w:ascii="Times New Roman" w:hAnsi="Times New Roman" w:cs="Times New Roman"/>
          <w:sz w:val="28"/>
          <w:szCs w:val="28"/>
          <w:lang w:val="uk-UA"/>
        </w:rPr>
        <w:t>депозити</w:t>
      </w:r>
      <w:r w:rsidRPr="0044358C">
        <w:rPr>
          <w:rFonts w:ascii="Times New Roman" w:hAnsi="Times New Roman" w:cs="Times New Roman"/>
          <w:sz w:val="28"/>
          <w:szCs w:val="28"/>
          <w:lang w:val="uk-UA"/>
        </w:rPr>
        <w:t xml:space="preserve"> населення і підприємств. Формування такої ресурсної бази історично залежало від розвитку мережі відділень, привабливості відсоткових ставок та репутації банку. Сучасні банки продовжують конкурувати за депозити, пропонуючи гнучкі умови (різні валюти, строки, системи страхування вкладів) та додаткові сервіси (інтернет-банкінг, бонусні програми). Проте зараз з’явилися нові канали і підходи до залучення коштів.</w:t>
      </w:r>
    </w:p>
    <w:p w14:paraId="106332C1" w14:textId="6DCB5414"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Як зазначено вище, фінтех-майданчики на кшталт Raisin дають банкам доступ до заощаджень клієнтів у масштабах ЄС. </w:t>
      </w:r>
      <w:r w:rsidRPr="00D13782">
        <w:rPr>
          <w:rFonts w:ascii="Times New Roman" w:hAnsi="Times New Roman" w:cs="Times New Roman"/>
          <w:sz w:val="28"/>
          <w:szCs w:val="28"/>
          <w:lang w:val="uk-UA"/>
        </w:rPr>
        <w:t>Open banking</w:t>
      </w:r>
      <w:r w:rsidRPr="0044358C">
        <w:rPr>
          <w:rFonts w:ascii="Times New Roman" w:hAnsi="Times New Roman" w:cs="Times New Roman"/>
          <w:sz w:val="28"/>
          <w:szCs w:val="28"/>
          <w:lang w:val="uk-UA"/>
        </w:rPr>
        <w:t xml:space="preserve"> (відкрите банківське обслуговування) та API дозволяють фінтех-компаніям агрегувати пропозиції депозитів різних банків, щоб вкладники могли розмістити гроші там, де кращі умови. Банки-партнери таких платформ отримують приплив ресурсів без необхідності самостійно охоплювати цих клієнтів напряму. За оцінками, через платформи Raisin/Deposit Solutions з моменту запуску було залучено </w:t>
      </w:r>
      <w:r w:rsidRPr="00D13782">
        <w:rPr>
          <w:rFonts w:ascii="Times New Roman" w:hAnsi="Times New Roman" w:cs="Times New Roman"/>
          <w:sz w:val="28"/>
          <w:szCs w:val="28"/>
          <w:lang w:val="uk-UA"/>
        </w:rPr>
        <w:t>десятки мільярдів євро</w:t>
      </w:r>
      <w:r w:rsidRPr="0044358C">
        <w:rPr>
          <w:rFonts w:ascii="Times New Roman" w:hAnsi="Times New Roman" w:cs="Times New Roman"/>
          <w:sz w:val="28"/>
          <w:szCs w:val="28"/>
          <w:lang w:val="uk-UA"/>
        </w:rPr>
        <w:t xml:space="preserve"> депозитів для банків-учасників. Інший напрям – </w:t>
      </w:r>
      <w:r w:rsidRPr="00D13782">
        <w:rPr>
          <w:rFonts w:ascii="Times New Roman" w:hAnsi="Times New Roman" w:cs="Times New Roman"/>
          <w:sz w:val="28"/>
          <w:szCs w:val="28"/>
          <w:lang w:val="uk-UA"/>
        </w:rPr>
        <w:t>мобільні додатки для заощаджень</w:t>
      </w:r>
      <w:r w:rsidRPr="0044358C">
        <w:rPr>
          <w:rFonts w:ascii="Times New Roman" w:hAnsi="Times New Roman" w:cs="Times New Roman"/>
          <w:sz w:val="28"/>
          <w:szCs w:val="28"/>
          <w:lang w:val="uk-UA"/>
        </w:rPr>
        <w:t>: деякі банки запускають цифрові копілки, програми лояльності, щоб стимулювати клієнтів зберігати кошти на рахунках більш тривалий час, підвищуючи стабільність ресурсної бази.</w:t>
      </w:r>
    </w:p>
    <w:p w14:paraId="489EC910" w14:textId="2C658618"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Краудфандинг як спосіб фінансування проник і в банківський сектор. Окрім згаданого прикладу Monzo (краудінвестинг у капітал банку), банки співпрацюють із краудфандинговими платформами для фінансування окремих проектів. Наприклад, BNP Paribas у партнерстві з платформою Ulule пропонував малим підприємствам спочатку зібрати кошти від спільноти на платформі, і якщо проєкт успішно профінансовано, банк надає додатковий кредит на суму не меншу, ніж залучено через краудфандинг. Така модель поєднує переваги краудфінансування (перевірка ідеї бізнесу спільнотою) із традиційним банківським кредитуванням, фактично використовуючи краудфандингові внески як «квазі-ресурсну базу» під новий кредит. Інший сегмент – </w:t>
      </w:r>
      <w:r w:rsidRPr="00D13782">
        <w:rPr>
          <w:rFonts w:ascii="Times New Roman" w:hAnsi="Times New Roman" w:cs="Times New Roman"/>
          <w:sz w:val="28"/>
          <w:szCs w:val="28"/>
          <w:lang w:val="uk-UA"/>
        </w:rPr>
        <w:t>peer-to-peer платформи кредитування</w:t>
      </w:r>
      <w:r w:rsidRPr="0044358C">
        <w:rPr>
          <w:rFonts w:ascii="Times New Roman" w:hAnsi="Times New Roman" w:cs="Times New Roman"/>
          <w:sz w:val="28"/>
          <w:szCs w:val="28"/>
          <w:lang w:val="uk-UA"/>
        </w:rPr>
        <w:t xml:space="preserve">, де приватні особи фінансують кредити іншим особам або бізнесу. Хоч банки не напряму отримують ці кошти, деякі з них інвестують у P2P-платформи або створюють власні, щоб не втрачати цей сегмент ринку. Таким чином, </w:t>
      </w:r>
      <w:r w:rsidRPr="0044358C">
        <w:rPr>
          <w:rFonts w:ascii="Times New Roman" w:hAnsi="Times New Roman" w:cs="Times New Roman"/>
          <w:sz w:val="28"/>
          <w:szCs w:val="28"/>
          <w:lang w:val="uk-UA"/>
        </w:rPr>
        <w:lastRenderedPageBreak/>
        <w:t>межа між традиційними залученими ресурсами і альтернативними платформами поступово розмивається.</w:t>
      </w:r>
    </w:p>
    <w:p w14:paraId="0E945870" w14:textId="4DD5FFE3"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Новітні тенденції включають використання </w:t>
      </w:r>
      <w:r w:rsidRPr="00D13782">
        <w:rPr>
          <w:rFonts w:ascii="Times New Roman" w:hAnsi="Times New Roman" w:cs="Times New Roman"/>
          <w:sz w:val="28"/>
          <w:szCs w:val="28"/>
          <w:lang w:val="uk-UA"/>
        </w:rPr>
        <w:t>криптоактивів</w:t>
      </w:r>
      <w:r w:rsidRPr="0044358C">
        <w:rPr>
          <w:rFonts w:ascii="Times New Roman" w:hAnsi="Times New Roman" w:cs="Times New Roman"/>
          <w:sz w:val="28"/>
          <w:szCs w:val="28"/>
          <w:lang w:val="uk-UA"/>
        </w:rPr>
        <w:t xml:space="preserve"> і </w:t>
      </w:r>
      <w:r w:rsidRPr="00D13782">
        <w:rPr>
          <w:rFonts w:ascii="Times New Roman" w:hAnsi="Times New Roman" w:cs="Times New Roman"/>
          <w:sz w:val="28"/>
          <w:szCs w:val="28"/>
          <w:lang w:val="uk-UA"/>
        </w:rPr>
        <w:t>токенів</w:t>
      </w:r>
      <w:r w:rsidRPr="0044358C">
        <w:rPr>
          <w:rFonts w:ascii="Times New Roman" w:hAnsi="Times New Roman" w:cs="Times New Roman"/>
          <w:sz w:val="28"/>
          <w:szCs w:val="28"/>
          <w:lang w:val="uk-UA"/>
        </w:rPr>
        <w:t xml:space="preserve"> у фінансуванні. Деякі банки почали приймати на зберігання криптовалюти клієнтів або пропонувати рахунки в цифрових валютах, однак це поки більше експериментально і регуляторно обмежено. Водночас </w:t>
      </w:r>
      <w:r w:rsidRPr="00D13782">
        <w:rPr>
          <w:rFonts w:ascii="Times New Roman" w:hAnsi="Times New Roman" w:cs="Times New Roman"/>
          <w:sz w:val="28"/>
          <w:szCs w:val="28"/>
          <w:lang w:val="uk-UA"/>
        </w:rPr>
        <w:t>токенізація активів</w:t>
      </w:r>
      <w:r w:rsidRPr="0044358C">
        <w:rPr>
          <w:rFonts w:ascii="Times New Roman" w:hAnsi="Times New Roman" w:cs="Times New Roman"/>
          <w:sz w:val="28"/>
          <w:szCs w:val="28"/>
          <w:lang w:val="uk-UA"/>
        </w:rPr>
        <w:t xml:space="preserve"> відкриває нові можливості для залучення фінансування. Банки та корпорації експериментують з емісією токенізованих боргових зобов’язань: у 2019 році Banco Santander випустив на блокчейні Ethereum облігацію обсягом $20 млн (терміном на 1 рік) – це був перший випадок повністю end-to-end випуску облігацій через блокчейн великим банком. У 2021 році Європейський інвестиційний банк (EIB) розмістив цифрові облігації на суму €100 млн на публічному блокчейні за участі консорціуму банків, включно з криптопідрозділом Societe Generale. Хоч EIB – це розвиткова установа, приклад показовий для всього сектора: </w:t>
      </w:r>
      <w:r w:rsidRPr="00D13782">
        <w:rPr>
          <w:rFonts w:ascii="Times New Roman" w:hAnsi="Times New Roman" w:cs="Times New Roman"/>
          <w:sz w:val="28"/>
          <w:szCs w:val="28"/>
          <w:lang w:val="uk-UA"/>
        </w:rPr>
        <w:t>токенізовані облігації</w:t>
      </w:r>
      <w:r w:rsidRPr="0044358C">
        <w:rPr>
          <w:rFonts w:ascii="Times New Roman" w:hAnsi="Times New Roman" w:cs="Times New Roman"/>
          <w:sz w:val="28"/>
          <w:szCs w:val="28"/>
          <w:lang w:val="uk-UA"/>
        </w:rPr>
        <w:t xml:space="preserve"> дозволяють залучати ресурси, розміщуючи цінні папери у вигляді цифрових токенів, які можуть купуватися і обертатися інвесторами напряму (з потенціалом знизити транзакційні витрати та розширити коло інвесторів). Наразі обсяги таких залучень невеликі, але вони швидко зростають по мірі розвитку технологій і правового поля. Отже, банки починають опановувати нові фінансові інструменти – від краудфандингу до цифрових токенів – для формування своєї ресурсної бази, що підвищує її гнучкість і диверсифікацію.</w:t>
      </w:r>
    </w:p>
    <w:p w14:paraId="6C116A32" w14:textId="77777777" w:rsidR="0044358C" w:rsidRPr="0044358C" w:rsidRDefault="0044358C" w:rsidP="00D13782">
      <w:pPr>
        <w:jc w:val="center"/>
        <w:rPr>
          <w:rFonts w:ascii="Times New Roman" w:hAnsi="Times New Roman" w:cs="Times New Roman"/>
          <w:b/>
          <w:bCs/>
          <w:sz w:val="28"/>
          <w:szCs w:val="28"/>
          <w:lang w:val="uk-UA"/>
        </w:rPr>
      </w:pPr>
      <w:r w:rsidRPr="0044358C">
        <w:rPr>
          <w:rFonts w:ascii="Times New Roman" w:hAnsi="Times New Roman" w:cs="Times New Roman"/>
          <w:b/>
          <w:bCs/>
          <w:sz w:val="28"/>
          <w:szCs w:val="28"/>
          <w:lang w:val="uk-UA"/>
        </w:rPr>
        <w:t>Запозичені ресурси та альтернативні механізми фінансування</w:t>
      </w:r>
    </w:p>
    <w:p w14:paraId="7323F221" w14:textId="6D5FF578"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У банківській практиці </w:t>
      </w:r>
      <w:r w:rsidRPr="00D13782">
        <w:rPr>
          <w:rFonts w:ascii="Times New Roman" w:hAnsi="Times New Roman" w:cs="Times New Roman"/>
          <w:sz w:val="28"/>
          <w:szCs w:val="28"/>
          <w:lang w:val="uk-UA"/>
        </w:rPr>
        <w:t>запозиченими ресурсами</w:t>
      </w:r>
      <w:r w:rsidRPr="0044358C">
        <w:rPr>
          <w:rFonts w:ascii="Times New Roman" w:hAnsi="Times New Roman" w:cs="Times New Roman"/>
          <w:sz w:val="28"/>
          <w:szCs w:val="28"/>
          <w:lang w:val="uk-UA"/>
        </w:rPr>
        <w:t xml:space="preserve"> вважають кошти, отримані не від клієнтів-депозиторів, а через боргові зобов’язання на ринках або від інших фінансових інститутів. Сюди входять </w:t>
      </w:r>
      <w:r w:rsidRPr="00D13782">
        <w:rPr>
          <w:rFonts w:ascii="Times New Roman" w:hAnsi="Times New Roman" w:cs="Times New Roman"/>
          <w:sz w:val="28"/>
          <w:szCs w:val="28"/>
          <w:lang w:val="uk-UA"/>
        </w:rPr>
        <w:t>міжбанківські кредити</w:t>
      </w:r>
      <w:r w:rsidRPr="0044358C">
        <w:rPr>
          <w:rFonts w:ascii="Times New Roman" w:hAnsi="Times New Roman" w:cs="Times New Roman"/>
          <w:sz w:val="28"/>
          <w:szCs w:val="28"/>
          <w:lang w:val="uk-UA"/>
        </w:rPr>
        <w:t xml:space="preserve">, </w:t>
      </w:r>
      <w:r w:rsidRPr="00D13782">
        <w:rPr>
          <w:rFonts w:ascii="Times New Roman" w:hAnsi="Times New Roman" w:cs="Times New Roman"/>
          <w:sz w:val="28"/>
          <w:szCs w:val="28"/>
          <w:lang w:val="uk-UA"/>
        </w:rPr>
        <w:t>кредити центрального банку</w:t>
      </w:r>
      <w:r w:rsidRPr="0044358C">
        <w:rPr>
          <w:rFonts w:ascii="Times New Roman" w:hAnsi="Times New Roman" w:cs="Times New Roman"/>
          <w:sz w:val="28"/>
          <w:szCs w:val="28"/>
          <w:lang w:val="uk-UA"/>
        </w:rPr>
        <w:t xml:space="preserve">, </w:t>
      </w:r>
      <w:r w:rsidRPr="00D13782">
        <w:rPr>
          <w:rFonts w:ascii="Times New Roman" w:hAnsi="Times New Roman" w:cs="Times New Roman"/>
          <w:sz w:val="28"/>
          <w:szCs w:val="28"/>
          <w:lang w:val="uk-UA"/>
        </w:rPr>
        <w:t>випуски облігацій, єврооблігацій, комерційних паперів</w:t>
      </w:r>
      <w:r w:rsidRPr="0044358C">
        <w:rPr>
          <w:rFonts w:ascii="Times New Roman" w:hAnsi="Times New Roman" w:cs="Times New Roman"/>
          <w:sz w:val="28"/>
          <w:szCs w:val="28"/>
          <w:lang w:val="uk-UA"/>
        </w:rPr>
        <w:t xml:space="preserve">, а також </w:t>
      </w:r>
      <w:r w:rsidRPr="00D13782">
        <w:rPr>
          <w:rFonts w:ascii="Times New Roman" w:hAnsi="Times New Roman" w:cs="Times New Roman"/>
          <w:sz w:val="28"/>
          <w:szCs w:val="28"/>
          <w:lang w:val="uk-UA"/>
        </w:rPr>
        <w:t>синдиковані кредити</w:t>
      </w:r>
      <w:r w:rsidRPr="0044358C">
        <w:rPr>
          <w:rFonts w:ascii="Times New Roman" w:hAnsi="Times New Roman" w:cs="Times New Roman"/>
          <w:sz w:val="28"/>
          <w:szCs w:val="28"/>
          <w:lang w:val="uk-UA"/>
        </w:rPr>
        <w:t xml:space="preserve"> від міжнародних банків. Запозичені ресурси дають можливість швидко наростити фінансування, але, як правило, є більш дорогими та чутливими до ринкових коливань, ніж стабільні депозити.</w:t>
      </w:r>
    </w:p>
    <w:p w14:paraId="450CC078" w14:textId="1559014B"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Після кризи 2008 р. регулятори заохочували банки зменшити залежність від короткострокового міжбанківського фінансування і більше використовувати </w:t>
      </w:r>
      <w:r w:rsidRPr="00D13782">
        <w:rPr>
          <w:rFonts w:ascii="Times New Roman" w:hAnsi="Times New Roman" w:cs="Times New Roman"/>
          <w:sz w:val="28"/>
          <w:szCs w:val="28"/>
          <w:lang w:val="uk-UA"/>
        </w:rPr>
        <w:t>довгострокові боргові інструменти</w:t>
      </w:r>
      <w:r w:rsidRPr="0044358C">
        <w:rPr>
          <w:rFonts w:ascii="Times New Roman" w:hAnsi="Times New Roman" w:cs="Times New Roman"/>
          <w:sz w:val="28"/>
          <w:szCs w:val="28"/>
          <w:lang w:val="uk-UA"/>
        </w:rPr>
        <w:t xml:space="preserve">. У результаті випуск </w:t>
      </w:r>
      <w:r w:rsidRPr="0044358C">
        <w:rPr>
          <w:rFonts w:ascii="Times New Roman" w:hAnsi="Times New Roman" w:cs="Times New Roman"/>
          <w:sz w:val="28"/>
          <w:szCs w:val="28"/>
          <w:lang w:val="uk-UA"/>
        </w:rPr>
        <w:lastRenderedPageBreak/>
        <w:t xml:space="preserve">банківських облігацій значно зріс. В ЄС частка боргових цінних паперів у пасивах, як зазначалось, близько 20%, а в деяких великих банках і ще вища. Банки випускають як необеспечені облігації (senior bonds, бонди прирівняні до депозитів за пріоритетністю), так і </w:t>
      </w:r>
      <w:r w:rsidRPr="00D13782">
        <w:rPr>
          <w:rFonts w:ascii="Times New Roman" w:hAnsi="Times New Roman" w:cs="Times New Roman"/>
          <w:sz w:val="28"/>
          <w:szCs w:val="28"/>
          <w:lang w:val="uk-UA"/>
        </w:rPr>
        <w:t>забезпечені</w:t>
      </w:r>
      <w:r w:rsidRPr="0044358C">
        <w:rPr>
          <w:rFonts w:ascii="Times New Roman" w:hAnsi="Times New Roman" w:cs="Times New Roman"/>
          <w:sz w:val="28"/>
          <w:szCs w:val="28"/>
          <w:lang w:val="uk-UA"/>
        </w:rPr>
        <w:t xml:space="preserve"> (covered bonds, забезпечені пулом активів – переважно іпотек), а також </w:t>
      </w:r>
      <w:r w:rsidRPr="00D13782">
        <w:rPr>
          <w:rFonts w:ascii="Times New Roman" w:hAnsi="Times New Roman" w:cs="Times New Roman"/>
          <w:sz w:val="28"/>
          <w:szCs w:val="28"/>
          <w:lang w:val="uk-UA"/>
        </w:rPr>
        <w:t>субординовані облігації</w:t>
      </w:r>
      <w:r w:rsidRPr="0044358C">
        <w:rPr>
          <w:rFonts w:ascii="Times New Roman" w:hAnsi="Times New Roman" w:cs="Times New Roman"/>
          <w:sz w:val="28"/>
          <w:szCs w:val="28"/>
          <w:lang w:val="uk-UA"/>
        </w:rPr>
        <w:t xml:space="preserve"> для поповнення капіталу (Tier 2). Сучасна тенденція – випуск </w:t>
      </w:r>
      <w:r w:rsidRPr="00D13782">
        <w:rPr>
          <w:rFonts w:ascii="Times New Roman" w:hAnsi="Times New Roman" w:cs="Times New Roman"/>
          <w:sz w:val="28"/>
          <w:szCs w:val="28"/>
          <w:lang w:val="uk-UA"/>
        </w:rPr>
        <w:t>«зелених» та «соціальних» облігацій</w:t>
      </w:r>
      <w:r w:rsidRPr="0044358C">
        <w:rPr>
          <w:rFonts w:ascii="Times New Roman" w:hAnsi="Times New Roman" w:cs="Times New Roman"/>
          <w:sz w:val="28"/>
          <w:szCs w:val="28"/>
          <w:lang w:val="uk-UA"/>
        </w:rPr>
        <w:t>: багато банків залучають кошти через еко-облігації, спрямовані на фінансування стійких проектів. Це не лише розширює базу інвесторів (адже ESG-інвестори охоче купують такі папери), але й диверсифікує джерела ресурсів банку. На додаток, після кризи 2008 року уряди деяких країн започаткували програми гарантування банківських облігацій, щоб підтримати довіру інвесторів до банківських запозичень. Таким чином, ринок облігацій став невід’ємною частиною фінансування банків, особливо великих.</w:t>
      </w:r>
    </w:p>
    <w:p w14:paraId="15408567" w14:textId="1293681A"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Для банків в країнах, що розвиваються (включно з Україною), важливим джерелом ресурсів є </w:t>
      </w:r>
      <w:r w:rsidRPr="00D13782">
        <w:rPr>
          <w:rFonts w:ascii="Times New Roman" w:hAnsi="Times New Roman" w:cs="Times New Roman"/>
          <w:sz w:val="28"/>
          <w:szCs w:val="28"/>
          <w:lang w:val="uk-UA"/>
        </w:rPr>
        <w:t>міжнародні фінансові організації</w:t>
      </w:r>
      <w:r w:rsidRPr="0044358C">
        <w:rPr>
          <w:rFonts w:ascii="Times New Roman" w:hAnsi="Times New Roman" w:cs="Times New Roman"/>
          <w:sz w:val="28"/>
          <w:szCs w:val="28"/>
          <w:lang w:val="uk-UA"/>
        </w:rPr>
        <w:t xml:space="preserve"> та іноземні урядові програми. Наприклад, </w:t>
      </w:r>
      <w:r w:rsidRPr="00D13782">
        <w:rPr>
          <w:rFonts w:ascii="Times New Roman" w:hAnsi="Times New Roman" w:cs="Times New Roman"/>
          <w:sz w:val="28"/>
          <w:szCs w:val="28"/>
          <w:lang w:val="uk-UA"/>
        </w:rPr>
        <w:t>Європейський банк реконструкції та розвитку (ЄБРР)</w:t>
      </w:r>
      <w:r w:rsidRPr="0044358C">
        <w:rPr>
          <w:rFonts w:ascii="Times New Roman" w:hAnsi="Times New Roman" w:cs="Times New Roman"/>
          <w:sz w:val="28"/>
          <w:szCs w:val="28"/>
          <w:lang w:val="uk-UA"/>
        </w:rPr>
        <w:t xml:space="preserve"> і </w:t>
      </w:r>
      <w:r w:rsidRPr="00D13782">
        <w:rPr>
          <w:rFonts w:ascii="Times New Roman" w:hAnsi="Times New Roman" w:cs="Times New Roman"/>
          <w:sz w:val="28"/>
          <w:szCs w:val="28"/>
          <w:lang w:val="uk-UA"/>
        </w:rPr>
        <w:t>Міжнародна фінансова корпорація (IFC)</w:t>
      </w:r>
      <w:r w:rsidRPr="0044358C">
        <w:rPr>
          <w:rFonts w:ascii="Times New Roman" w:hAnsi="Times New Roman" w:cs="Times New Roman"/>
          <w:sz w:val="28"/>
          <w:szCs w:val="28"/>
          <w:lang w:val="uk-UA"/>
        </w:rPr>
        <w:t xml:space="preserve"> інвестують у банківський сектор через кредити, субординований борг або входження в капітал банків. У кризові часи така підтримка є критичною: у 2023 році, під час війни, ЄБРР став фактично найбільшим інституційним інвестором в Україні, надавши </w:t>
      </w:r>
      <w:r w:rsidRPr="00D13782">
        <w:rPr>
          <w:rFonts w:ascii="Times New Roman" w:hAnsi="Times New Roman" w:cs="Times New Roman"/>
          <w:sz w:val="28"/>
          <w:szCs w:val="28"/>
          <w:lang w:val="uk-UA"/>
        </w:rPr>
        <w:t>€690 млн гарантій для кредитування українськими банками нового бізнесу</w:t>
      </w:r>
      <w:r w:rsidRPr="0044358C">
        <w:rPr>
          <w:rFonts w:ascii="Times New Roman" w:hAnsi="Times New Roman" w:cs="Times New Roman"/>
          <w:sz w:val="28"/>
          <w:szCs w:val="28"/>
          <w:lang w:val="uk-UA"/>
        </w:rPr>
        <w:t xml:space="preserve"> і загалом інвестувавши рекордні €2,1 млрд у проєкти в Україні. Ці гарантії розподілу ризиків дозволили банкам (ПриватБанку, Укргазбанку, Кредобанку, Банку Львів тощо) продовжувати кредитувати економіку, фактично заміщуючи брак ресурсів або високі ризики неповернення. Такі механізми можна розглядати як альтернативне фінансування: банк отримує </w:t>
      </w:r>
      <w:r w:rsidRPr="00D13782">
        <w:rPr>
          <w:rFonts w:ascii="Times New Roman" w:hAnsi="Times New Roman" w:cs="Times New Roman"/>
          <w:sz w:val="28"/>
          <w:szCs w:val="28"/>
          <w:lang w:val="uk-UA"/>
        </w:rPr>
        <w:t>кредитні лінії чи гарантії</w:t>
      </w:r>
      <w:r w:rsidRPr="0044358C">
        <w:rPr>
          <w:rFonts w:ascii="Times New Roman" w:hAnsi="Times New Roman" w:cs="Times New Roman"/>
          <w:sz w:val="28"/>
          <w:szCs w:val="28"/>
          <w:lang w:val="uk-UA"/>
        </w:rPr>
        <w:t xml:space="preserve"> від МФО, що підсилює його спроможність залучати кошти під ці гарантії на ринку. Крім того, в мирний час МФО також видавали довгострокові цільові кредити українським банкам (наприклад, на розвиток МСБ або агросектора), що теж входить до ресурсної бази як запозичення. Іншим каналом глобальної підтримки є </w:t>
      </w:r>
      <w:r w:rsidRPr="00D13782">
        <w:rPr>
          <w:rFonts w:ascii="Times New Roman" w:hAnsi="Times New Roman" w:cs="Times New Roman"/>
          <w:sz w:val="28"/>
          <w:szCs w:val="28"/>
          <w:lang w:val="uk-UA"/>
        </w:rPr>
        <w:t>своп-лінії центральних банків</w:t>
      </w:r>
      <w:r w:rsidRPr="0044358C">
        <w:rPr>
          <w:rFonts w:ascii="Times New Roman" w:hAnsi="Times New Roman" w:cs="Times New Roman"/>
          <w:sz w:val="28"/>
          <w:szCs w:val="28"/>
          <w:lang w:val="uk-UA"/>
        </w:rPr>
        <w:t>: у періоди стресу НБУ може отримати ліквідність від провідних центробанків, які потім надаються банкам країни (хоча для України це радше теоретичний механізм, а от для банків ЄС і розвинених країн – реальність, як під час пандемії доларові свопи ФРС підтримали іноземні банки).</w:t>
      </w:r>
    </w:p>
    <w:p w14:paraId="2DD14F6D" w14:textId="77777777" w:rsidR="0044358C" w:rsidRPr="0044358C" w:rsidRDefault="0044358C" w:rsidP="00D13782">
      <w:pPr>
        <w:jc w:val="center"/>
        <w:rPr>
          <w:rFonts w:ascii="Times New Roman" w:hAnsi="Times New Roman" w:cs="Times New Roman"/>
          <w:b/>
          <w:bCs/>
          <w:sz w:val="28"/>
          <w:szCs w:val="28"/>
          <w:lang w:val="uk-UA"/>
        </w:rPr>
      </w:pPr>
      <w:r w:rsidRPr="0044358C">
        <w:rPr>
          <w:rFonts w:ascii="Times New Roman" w:hAnsi="Times New Roman" w:cs="Times New Roman"/>
          <w:b/>
          <w:bCs/>
          <w:sz w:val="28"/>
          <w:szCs w:val="28"/>
          <w:lang w:val="uk-UA"/>
        </w:rPr>
        <w:lastRenderedPageBreak/>
        <w:t>Нормативи ліквідності та платоспроможності</w:t>
      </w:r>
    </w:p>
    <w:p w14:paraId="51E0D360" w14:textId="3DE0E5D2"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Після кризового досвіду 2007–2009 рр. міжнародні стандарти суттєво посилили вимоги до ліквідності та капіталу банків. Базельський комітет з питань банківського нагляду в рамках угоди </w:t>
      </w:r>
      <w:r w:rsidRPr="00D13782">
        <w:rPr>
          <w:rFonts w:ascii="Times New Roman" w:hAnsi="Times New Roman" w:cs="Times New Roman"/>
          <w:sz w:val="28"/>
          <w:szCs w:val="28"/>
          <w:lang w:val="uk-UA"/>
        </w:rPr>
        <w:t>«Базель III»</w:t>
      </w:r>
      <w:r w:rsidRPr="0044358C">
        <w:rPr>
          <w:rFonts w:ascii="Times New Roman" w:hAnsi="Times New Roman" w:cs="Times New Roman"/>
          <w:sz w:val="28"/>
          <w:szCs w:val="28"/>
          <w:lang w:val="uk-UA"/>
        </w:rPr>
        <w:t xml:space="preserve"> ввів нові нормативи, зокрема </w:t>
      </w:r>
      <w:r w:rsidRPr="00D13782">
        <w:rPr>
          <w:rFonts w:ascii="Times New Roman" w:hAnsi="Times New Roman" w:cs="Times New Roman"/>
          <w:sz w:val="28"/>
          <w:szCs w:val="28"/>
          <w:lang w:val="uk-UA"/>
        </w:rPr>
        <w:t>LCR (Liquidity Coverage Ratio)</w:t>
      </w:r>
      <w:r w:rsidRPr="0044358C">
        <w:rPr>
          <w:rFonts w:ascii="Times New Roman" w:hAnsi="Times New Roman" w:cs="Times New Roman"/>
          <w:sz w:val="28"/>
          <w:szCs w:val="28"/>
          <w:lang w:val="uk-UA"/>
        </w:rPr>
        <w:t xml:space="preserve"> та </w:t>
      </w:r>
      <w:r w:rsidRPr="00D13782">
        <w:rPr>
          <w:rFonts w:ascii="Times New Roman" w:hAnsi="Times New Roman" w:cs="Times New Roman"/>
          <w:sz w:val="28"/>
          <w:szCs w:val="28"/>
          <w:lang w:val="uk-UA"/>
        </w:rPr>
        <w:t>NSFR (Net Stable Funding Ratio)</w:t>
      </w:r>
      <w:r w:rsidRPr="0044358C">
        <w:rPr>
          <w:rFonts w:ascii="Times New Roman" w:hAnsi="Times New Roman" w:cs="Times New Roman"/>
          <w:sz w:val="28"/>
          <w:szCs w:val="28"/>
          <w:lang w:val="uk-UA"/>
        </w:rPr>
        <w:t xml:space="preserve">. </w:t>
      </w:r>
      <w:r w:rsidRPr="00D13782">
        <w:rPr>
          <w:rFonts w:ascii="Times New Roman" w:hAnsi="Times New Roman" w:cs="Times New Roman"/>
          <w:sz w:val="28"/>
          <w:szCs w:val="28"/>
          <w:lang w:val="uk-UA"/>
        </w:rPr>
        <w:t>Норматив LCR</w:t>
      </w:r>
      <w:r w:rsidRPr="0044358C">
        <w:rPr>
          <w:rFonts w:ascii="Times New Roman" w:hAnsi="Times New Roman" w:cs="Times New Roman"/>
          <w:sz w:val="28"/>
          <w:szCs w:val="28"/>
          <w:lang w:val="uk-UA"/>
        </w:rPr>
        <w:t xml:space="preserve"> вимагає від банку підтримувати достатній запас високоліквідних активів, щоб покрити чистий відтік коштів за стресового сценарію протягом 30 днів. </w:t>
      </w:r>
      <w:r w:rsidRPr="00D13782">
        <w:rPr>
          <w:rFonts w:ascii="Times New Roman" w:hAnsi="Times New Roman" w:cs="Times New Roman"/>
          <w:sz w:val="28"/>
          <w:szCs w:val="28"/>
          <w:lang w:val="uk-UA"/>
        </w:rPr>
        <w:t>Норматив NSFR</w:t>
      </w:r>
      <w:r w:rsidRPr="0044358C">
        <w:rPr>
          <w:rFonts w:ascii="Times New Roman" w:hAnsi="Times New Roman" w:cs="Times New Roman"/>
          <w:sz w:val="28"/>
          <w:szCs w:val="28"/>
          <w:lang w:val="uk-UA"/>
        </w:rPr>
        <w:t xml:space="preserve">, у свою чергу, встановлює мінімальний рівень </w:t>
      </w:r>
      <w:r w:rsidRPr="00D13782">
        <w:rPr>
          <w:rFonts w:ascii="Times New Roman" w:hAnsi="Times New Roman" w:cs="Times New Roman"/>
          <w:sz w:val="28"/>
          <w:szCs w:val="28"/>
          <w:lang w:val="uk-UA"/>
        </w:rPr>
        <w:t>стабільного фінансування на річний горизонт</w:t>
      </w:r>
      <w:r w:rsidRPr="0044358C">
        <w:rPr>
          <w:rFonts w:ascii="Times New Roman" w:hAnsi="Times New Roman" w:cs="Times New Roman"/>
          <w:sz w:val="28"/>
          <w:szCs w:val="28"/>
          <w:lang w:val="uk-UA"/>
        </w:rPr>
        <w:t xml:space="preserve"> – тобто банк повинен забезпечити, щоб довгострокові активи фінансувалися достатньою кількістю надійних (стабільних) пасивів з терміном не менше року. Ці нормативи були розроблені для підвищення стійкості ресурсної бази банків: LCR – щоб банки тримали ліквідний буфер проти раптового відтоку депозитів чи інших коротких зобов’язань, а NSFR – щоб зменшити залежність від короткострокового боргу і мотивувати більш збалансовану структуру строків пасивів і активів.</w:t>
      </w:r>
    </w:p>
    <w:p w14:paraId="3919EE5B" w14:textId="77DD6FB8"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Упродовж 2010-х років стандарти Базель III впроваджувалися в законодавство різних країн (ЄС прийняв їх у рамках CRD IV/CRR). В Україні Національний банк узяв курс на імплементацію базельських норм після очищення банківської системи. Вимога LCR для банків України була запроваджена з 2018 року, а NSFR – з 2019 року на індивідуальній основі, причому мінімальне значення встановлено на рівні 100%. На початку 2024 року НБУ поширив ці нормативи і на </w:t>
      </w:r>
      <w:r w:rsidRPr="00D13782">
        <w:rPr>
          <w:rFonts w:ascii="Times New Roman" w:hAnsi="Times New Roman" w:cs="Times New Roman"/>
          <w:sz w:val="28"/>
          <w:szCs w:val="28"/>
          <w:lang w:val="uk-UA"/>
        </w:rPr>
        <w:t>банківські групи</w:t>
      </w:r>
      <w:r w:rsidRPr="0044358C">
        <w:rPr>
          <w:rFonts w:ascii="Times New Roman" w:hAnsi="Times New Roman" w:cs="Times New Roman"/>
          <w:sz w:val="28"/>
          <w:szCs w:val="28"/>
          <w:lang w:val="uk-UA"/>
        </w:rPr>
        <w:t xml:space="preserve">: згідно з рішенням Правління НБУ, з 1 квітня 2024 р. банківські групи повинні розраховувати LCR та NSFR, а з квітня 2025 р. – дотримуватися їх мінімального значення 100% на консолідованій основі. Як зазначив НБУ, це черговий крок до зближення регулятивних правил з європейськими стандартами. Окрім ліквідності, посилилися і вимоги до капіталу: </w:t>
      </w:r>
      <w:r w:rsidRPr="00D13782">
        <w:rPr>
          <w:rFonts w:ascii="Times New Roman" w:hAnsi="Times New Roman" w:cs="Times New Roman"/>
          <w:sz w:val="28"/>
          <w:szCs w:val="28"/>
          <w:lang w:val="uk-UA"/>
        </w:rPr>
        <w:t>коефіцієнт достатності основного капіталу (CET1)</w:t>
      </w:r>
      <w:r w:rsidRPr="0044358C">
        <w:rPr>
          <w:rFonts w:ascii="Times New Roman" w:hAnsi="Times New Roman" w:cs="Times New Roman"/>
          <w:sz w:val="28"/>
          <w:szCs w:val="28"/>
          <w:lang w:val="uk-UA"/>
        </w:rPr>
        <w:t xml:space="preserve"> підвищено до 4,5% (замість 2% у Базелі II), а загальна достатність капіталу – до 8% мінімум, але з додатковими буферами (консерваційним буфером 2,5%, контрциклічним буфером за необхідності та буфером системної важливості для найбільших банків). Таким чином, фактично великим банкам потрібно підтримувати сумарний капітал близько ~10,5–13% ризикованих активів. Ці нормативи покликані забезпечити </w:t>
      </w:r>
      <w:r w:rsidRPr="00D13782">
        <w:rPr>
          <w:rFonts w:ascii="Times New Roman" w:hAnsi="Times New Roman" w:cs="Times New Roman"/>
          <w:sz w:val="28"/>
          <w:szCs w:val="28"/>
          <w:lang w:val="uk-UA"/>
        </w:rPr>
        <w:t>платоспроможність</w:t>
      </w:r>
      <w:r w:rsidRPr="0044358C">
        <w:rPr>
          <w:rFonts w:ascii="Times New Roman" w:hAnsi="Times New Roman" w:cs="Times New Roman"/>
          <w:sz w:val="28"/>
          <w:szCs w:val="28"/>
          <w:lang w:val="uk-UA"/>
        </w:rPr>
        <w:t>: банк повинен мати достатній власний капітал, щоб покрити непередбачені збитки і захистити вкладників.</w:t>
      </w:r>
    </w:p>
    <w:p w14:paraId="32D9E2CA" w14:textId="0513DC29"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lastRenderedPageBreak/>
        <w:t xml:space="preserve">Базельський комітет продовжує вдосконалювати вимоги. Так званий </w:t>
      </w:r>
      <w:r w:rsidRPr="00D13782">
        <w:rPr>
          <w:rFonts w:ascii="Times New Roman" w:hAnsi="Times New Roman" w:cs="Times New Roman"/>
          <w:sz w:val="28"/>
          <w:szCs w:val="28"/>
          <w:lang w:val="uk-UA"/>
        </w:rPr>
        <w:t>«Базель III (фінальна версія)»</w:t>
      </w:r>
      <w:r w:rsidRPr="0044358C">
        <w:rPr>
          <w:rFonts w:ascii="Times New Roman" w:hAnsi="Times New Roman" w:cs="Times New Roman"/>
          <w:sz w:val="28"/>
          <w:szCs w:val="28"/>
          <w:lang w:val="uk-UA"/>
        </w:rPr>
        <w:t xml:space="preserve"> або неформально «Базель IV» включає зміни до методик оцінки ризиків (введення вихідного порогу ризиків – output floor, який обмежує економію капіталу від використання внутрішніх моделей) з орієнтовним впровадженням у 2025–2028 рр. Також після випадків неплатоспроможності окремих банків у 2023 р. (як-от Silicon Valley Bank, Credit Suisse) регулятори більше уваги приділяють питанням </w:t>
      </w:r>
      <w:r w:rsidRPr="00D13782">
        <w:rPr>
          <w:rFonts w:ascii="Times New Roman" w:hAnsi="Times New Roman" w:cs="Times New Roman"/>
          <w:sz w:val="28"/>
          <w:szCs w:val="28"/>
          <w:lang w:val="uk-UA"/>
        </w:rPr>
        <w:t>управління процентним ризиком та ліквідністю</w:t>
      </w:r>
      <w:r w:rsidRPr="0044358C">
        <w:rPr>
          <w:rFonts w:ascii="Times New Roman" w:hAnsi="Times New Roman" w:cs="Times New Roman"/>
          <w:sz w:val="28"/>
          <w:szCs w:val="28"/>
          <w:lang w:val="uk-UA"/>
        </w:rPr>
        <w:t xml:space="preserve">. У США обговорюється повернення до жорсткіших правил ліквідності для банків середнього розміру. В ЄС діють норми </w:t>
      </w:r>
      <w:r w:rsidRPr="00D13782">
        <w:rPr>
          <w:rFonts w:ascii="Times New Roman" w:hAnsi="Times New Roman" w:cs="Times New Roman"/>
          <w:sz w:val="28"/>
          <w:szCs w:val="28"/>
          <w:lang w:val="uk-UA"/>
        </w:rPr>
        <w:t>TLAC/MREL</w:t>
      </w:r>
      <w:r w:rsidRPr="0044358C">
        <w:rPr>
          <w:rFonts w:ascii="Times New Roman" w:hAnsi="Times New Roman" w:cs="Times New Roman"/>
          <w:sz w:val="28"/>
          <w:szCs w:val="28"/>
          <w:lang w:val="uk-UA"/>
        </w:rPr>
        <w:t xml:space="preserve"> – мінімальні вимоги до зобов’язань і капіталу, що можуть бути списані чи конвертовані при кризі (це зобов’язує великі банки тримати певний запас випущених боргових інструментів для можливого bail-in). Для українських банків актуальною є імплементація стандартів </w:t>
      </w:r>
      <w:r w:rsidRPr="00D13782">
        <w:rPr>
          <w:rFonts w:ascii="Times New Roman" w:hAnsi="Times New Roman" w:cs="Times New Roman"/>
          <w:sz w:val="28"/>
          <w:szCs w:val="28"/>
          <w:lang w:val="uk-UA"/>
        </w:rPr>
        <w:t>IFRS 9</w:t>
      </w:r>
      <w:r w:rsidRPr="0044358C">
        <w:rPr>
          <w:rFonts w:ascii="Times New Roman" w:hAnsi="Times New Roman" w:cs="Times New Roman"/>
          <w:sz w:val="28"/>
          <w:szCs w:val="28"/>
          <w:lang w:val="uk-UA"/>
        </w:rPr>
        <w:t xml:space="preserve"> (новий підхід до формування резервів під очікувані збитки), що теж впливає на капітал і стійкість ресурсної бази. Загалом, сучасне регуляторне середовище вимагає від банків більшої </w:t>
      </w:r>
      <w:r w:rsidRPr="00D13782">
        <w:rPr>
          <w:rFonts w:ascii="Times New Roman" w:hAnsi="Times New Roman" w:cs="Times New Roman"/>
          <w:sz w:val="28"/>
          <w:szCs w:val="28"/>
          <w:lang w:val="uk-UA"/>
        </w:rPr>
        <w:t>якості і стабільності ресурсів</w:t>
      </w:r>
      <w:r w:rsidRPr="0044358C">
        <w:rPr>
          <w:rFonts w:ascii="Times New Roman" w:hAnsi="Times New Roman" w:cs="Times New Roman"/>
          <w:sz w:val="28"/>
          <w:szCs w:val="28"/>
          <w:lang w:val="uk-UA"/>
        </w:rPr>
        <w:t>: достатнього запасу ліквідності, довгострокового фінансування та міцного капіталу. Це, в свою чергу, обмежує надмірне зростання на ризикових залучених коштах, але робить систему більш надійною.</w:t>
      </w:r>
    </w:p>
    <w:p w14:paraId="6BDE2F07" w14:textId="77777777" w:rsidR="0044358C" w:rsidRPr="0044358C" w:rsidRDefault="0044358C" w:rsidP="00D13782">
      <w:pPr>
        <w:jc w:val="center"/>
        <w:rPr>
          <w:rFonts w:ascii="Times New Roman" w:hAnsi="Times New Roman" w:cs="Times New Roman"/>
          <w:b/>
          <w:bCs/>
          <w:sz w:val="28"/>
          <w:szCs w:val="28"/>
          <w:lang w:val="uk-UA"/>
        </w:rPr>
      </w:pPr>
      <w:r w:rsidRPr="0044358C">
        <w:rPr>
          <w:rFonts w:ascii="Times New Roman" w:hAnsi="Times New Roman" w:cs="Times New Roman"/>
          <w:b/>
          <w:bCs/>
          <w:sz w:val="28"/>
          <w:szCs w:val="28"/>
          <w:lang w:val="uk-UA"/>
        </w:rPr>
        <w:t>Стратегічне управління ресурсами банку</w:t>
      </w:r>
    </w:p>
    <w:p w14:paraId="45BF22F8" w14:textId="0731847F"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Ефективне управління ресурсною базою – ключ до фінансової стійкості банку. Одним із найбільших ризиків є </w:t>
      </w:r>
      <w:r w:rsidRPr="00D13782">
        <w:rPr>
          <w:rFonts w:ascii="Times New Roman" w:hAnsi="Times New Roman" w:cs="Times New Roman"/>
          <w:sz w:val="28"/>
          <w:szCs w:val="28"/>
          <w:lang w:val="uk-UA"/>
        </w:rPr>
        <w:t>надмірна залежність від короткострокових джерел</w:t>
      </w:r>
      <w:r w:rsidRPr="0044358C">
        <w:rPr>
          <w:rFonts w:ascii="Times New Roman" w:hAnsi="Times New Roman" w:cs="Times New Roman"/>
          <w:sz w:val="28"/>
          <w:szCs w:val="28"/>
          <w:lang w:val="uk-UA"/>
        </w:rPr>
        <w:t xml:space="preserve">. Якщо банк фінансує довгострокові кредити переважно за рахунок короткострокових зобов’язань (наприклад, overnight міжбанківських позик або «гарячих» депозитів на вимогу), виникає </w:t>
      </w:r>
      <w:r w:rsidRPr="00D13782">
        <w:rPr>
          <w:rFonts w:ascii="Times New Roman" w:hAnsi="Times New Roman" w:cs="Times New Roman"/>
          <w:sz w:val="28"/>
          <w:szCs w:val="28"/>
          <w:lang w:val="uk-UA"/>
        </w:rPr>
        <w:t>розрив ліквідності</w:t>
      </w:r>
      <w:r w:rsidRPr="0044358C">
        <w:rPr>
          <w:rFonts w:ascii="Times New Roman" w:hAnsi="Times New Roman" w:cs="Times New Roman"/>
          <w:sz w:val="28"/>
          <w:szCs w:val="28"/>
          <w:lang w:val="uk-UA"/>
        </w:rPr>
        <w:t xml:space="preserve">: у разі стресу такі джерела можуть вичерпатися або масово відтікати, залишаючи банк без фінансування для активів. Класичний приклад – криза Northern Rock у 2007 році у Великобританії, коли банк, значною мірою залежний від короткого оптового фінансування, не зміг рефінансуватися після замороження ринку. Більш сучасний приклад – </w:t>
      </w:r>
      <w:r w:rsidRPr="00D13782">
        <w:rPr>
          <w:rFonts w:ascii="Times New Roman" w:hAnsi="Times New Roman" w:cs="Times New Roman"/>
          <w:sz w:val="28"/>
          <w:szCs w:val="28"/>
          <w:lang w:val="uk-UA"/>
        </w:rPr>
        <w:t>Silicon Valley Bank (SVB)</w:t>
      </w:r>
      <w:r w:rsidRPr="0044358C">
        <w:rPr>
          <w:rFonts w:ascii="Times New Roman" w:hAnsi="Times New Roman" w:cs="Times New Roman"/>
          <w:sz w:val="28"/>
          <w:szCs w:val="28"/>
          <w:lang w:val="uk-UA"/>
        </w:rPr>
        <w:t xml:space="preserve"> у США в 2023 році. SVB мала дуже концентровану клієнтську базу технологічних компаній, причому </w:t>
      </w:r>
      <w:r w:rsidRPr="00D13782">
        <w:rPr>
          <w:rFonts w:ascii="Times New Roman" w:hAnsi="Times New Roman" w:cs="Times New Roman"/>
          <w:sz w:val="28"/>
          <w:szCs w:val="28"/>
          <w:lang w:val="uk-UA"/>
        </w:rPr>
        <w:t>близько 94% її депозитів були незастрахованими</w:t>
      </w:r>
      <w:r w:rsidRPr="0044358C">
        <w:rPr>
          <w:rFonts w:ascii="Times New Roman" w:hAnsi="Times New Roman" w:cs="Times New Roman"/>
          <w:sz w:val="28"/>
          <w:szCs w:val="28"/>
          <w:lang w:val="uk-UA"/>
        </w:rPr>
        <w:t xml:space="preserve"> (перевищували ліміт страхування). Коли з’явилися новини про інвестиційні збитки банку, ці великі вкладники стрімко забрали кошти (лише за один день – $40 млрд відтоку), що спричинило колапс банку. Таким чином, </w:t>
      </w:r>
      <w:r w:rsidRPr="00D13782">
        <w:rPr>
          <w:rFonts w:ascii="Times New Roman" w:hAnsi="Times New Roman" w:cs="Times New Roman"/>
          <w:sz w:val="28"/>
          <w:szCs w:val="28"/>
          <w:lang w:val="uk-UA"/>
        </w:rPr>
        <w:t>недостатня диверсифікація та короткий профіль пасивів</w:t>
      </w:r>
      <w:r w:rsidRPr="0044358C">
        <w:rPr>
          <w:rFonts w:ascii="Times New Roman" w:hAnsi="Times New Roman" w:cs="Times New Roman"/>
          <w:sz w:val="28"/>
          <w:szCs w:val="28"/>
          <w:lang w:val="uk-UA"/>
        </w:rPr>
        <w:t xml:space="preserve"> </w:t>
      </w:r>
      <w:r w:rsidRPr="0044358C">
        <w:rPr>
          <w:rFonts w:ascii="Times New Roman" w:hAnsi="Times New Roman" w:cs="Times New Roman"/>
          <w:sz w:val="28"/>
          <w:szCs w:val="28"/>
          <w:lang w:val="uk-UA"/>
        </w:rPr>
        <w:lastRenderedPageBreak/>
        <w:t>зробили навіть на вигляд успішний банк вразливим до миттєвого "набігу на банк".</w:t>
      </w:r>
    </w:p>
    <w:p w14:paraId="50AD4EA6" w14:textId="5E20CFC9"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На глобальному рівні уроки криз показали, що </w:t>
      </w:r>
      <w:r w:rsidRPr="00D13782">
        <w:rPr>
          <w:rFonts w:ascii="Times New Roman" w:hAnsi="Times New Roman" w:cs="Times New Roman"/>
          <w:sz w:val="28"/>
          <w:szCs w:val="28"/>
          <w:lang w:val="uk-UA"/>
        </w:rPr>
        <w:t>опора на короткострокові ринки</w:t>
      </w:r>
      <w:r w:rsidRPr="0044358C">
        <w:rPr>
          <w:rFonts w:ascii="Times New Roman" w:hAnsi="Times New Roman" w:cs="Times New Roman"/>
          <w:sz w:val="28"/>
          <w:szCs w:val="28"/>
          <w:lang w:val="uk-UA"/>
        </w:rPr>
        <w:t xml:space="preserve"> – комерційні папери, короткі міжбанківські кредити, операції РЕПО – створює системний ризик. До 2008 р. такі джерела вважалися ефективними і дешевими, однак криза довела їхню </w:t>
      </w:r>
      <w:r w:rsidRPr="00D13782">
        <w:rPr>
          <w:rFonts w:ascii="Times New Roman" w:hAnsi="Times New Roman" w:cs="Times New Roman"/>
          <w:sz w:val="28"/>
          <w:szCs w:val="28"/>
          <w:lang w:val="uk-UA"/>
        </w:rPr>
        <w:t>нестійкість</w:t>
      </w:r>
      <w:r w:rsidRPr="0044358C">
        <w:rPr>
          <w:rFonts w:ascii="Times New Roman" w:hAnsi="Times New Roman" w:cs="Times New Roman"/>
          <w:sz w:val="28"/>
          <w:szCs w:val="28"/>
          <w:lang w:val="uk-UA"/>
        </w:rPr>
        <w:t xml:space="preserve">: коли ринок злякався за якість активів, </w:t>
      </w:r>
      <w:r w:rsidRPr="00D13782">
        <w:rPr>
          <w:rFonts w:ascii="Times New Roman" w:hAnsi="Times New Roman" w:cs="Times New Roman"/>
          <w:sz w:val="28"/>
          <w:szCs w:val="28"/>
          <w:lang w:val="uk-UA"/>
        </w:rPr>
        <w:t>навіть забезпечені заставою інструменти перестали працювати</w:t>
      </w:r>
      <w:r w:rsidRPr="0044358C">
        <w:rPr>
          <w:rFonts w:ascii="Times New Roman" w:hAnsi="Times New Roman" w:cs="Times New Roman"/>
          <w:sz w:val="28"/>
          <w:szCs w:val="28"/>
          <w:lang w:val="uk-UA"/>
        </w:rPr>
        <w:t xml:space="preserve"> – інвестори відмовилися рефінансувати навіть під заставу високоякісних активів. Раптове </w:t>
      </w:r>
      <w:r w:rsidRPr="00D13782">
        <w:rPr>
          <w:rFonts w:ascii="Times New Roman" w:hAnsi="Times New Roman" w:cs="Times New Roman"/>
          <w:sz w:val="28"/>
          <w:szCs w:val="28"/>
          <w:lang w:val="uk-UA"/>
        </w:rPr>
        <w:t>«висихання» ліквідності</w:t>
      </w:r>
      <w:r w:rsidRPr="0044358C">
        <w:rPr>
          <w:rFonts w:ascii="Times New Roman" w:hAnsi="Times New Roman" w:cs="Times New Roman"/>
          <w:sz w:val="28"/>
          <w:szCs w:val="28"/>
          <w:lang w:val="uk-UA"/>
        </w:rPr>
        <w:t xml:space="preserve"> на ринку виявилося для багатьох установ несподіваним, оскільки вони не закладали у плани повного припинення доступу до рефінансування. Відтак сучасні банки мають приділяти увагу не лише достатності капіталу, а й </w:t>
      </w:r>
      <w:r w:rsidRPr="00D13782">
        <w:rPr>
          <w:rFonts w:ascii="Times New Roman" w:hAnsi="Times New Roman" w:cs="Times New Roman"/>
          <w:sz w:val="28"/>
          <w:szCs w:val="28"/>
          <w:lang w:val="uk-UA"/>
        </w:rPr>
        <w:t>профілю ліквідності та строковості пасивів</w:t>
      </w:r>
      <w:r w:rsidRPr="0044358C">
        <w:rPr>
          <w:rFonts w:ascii="Times New Roman" w:hAnsi="Times New Roman" w:cs="Times New Roman"/>
          <w:sz w:val="28"/>
          <w:szCs w:val="28"/>
          <w:lang w:val="uk-UA"/>
        </w:rPr>
        <w:t>.</w:t>
      </w:r>
    </w:p>
    <w:p w14:paraId="23AF05E1" w14:textId="11B4ACD8"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Стратегічне управління ресурсами полягає в підтриманні балансу між прибутковістю і надійністю. Короткі кошти зазвичай дешевші, але ризикованіші; довгі – дорожчі, але дають впевненість. Банки зараз активно впроваджують системи </w:t>
      </w:r>
      <w:r w:rsidRPr="00D13782">
        <w:rPr>
          <w:rFonts w:ascii="Times New Roman" w:hAnsi="Times New Roman" w:cs="Times New Roman"/>
          <w:sz w:val="28"/>
          <w:szCs w:val="28"/>
          <w:lang w:val="uk-UA"/>
        </w:rPr>
        <w:t>ALM (управління активами і пасивами)</w:t>
      </w:r>
      <w:r w:rsidRPr="0044358C">
        <w:rPr>
          <w:rFonts w:ascii="Times New Roman" w:hAnsi="Times New Roman" w:cs="Times New Roman"/>
          <w:sz w:val="28"/>
          <w:szCs w:val="28"/>
          <w:lang w:val="uk-UA"/>
        </w:rPr>
        <w:t xml:space="preserve">, які відстежують розриви ліквідності за строками і сценарії можливих відтоків. Регулярно проводяться </w:t>
      </w:r>
      <w:r w:rsidRPr="00D13782">
        <w:rPr>
          <w:rFonts w:ascii="Times New Roman" w:hAnsi="Times New Roman" w:cs="Times New Roman"/>
          <w:sz w:val="28"/>
          <w:szCs w:val="28"/>
          <w:lang w:val="uk-UA"/>
        </w:rPr>
        <w:t>стрес-тести ліквідності</w:t>
      </w:r>
      <w:r w:rsidRPr="0044358C">
        <w:rPr>
          <w:rFonts w:ascii="Times New Roman" w:hAnsi="Times New Roman" w:cs="Times New Roman"/>
          <w:sz w:val="28"/>
          <w:szCs w:val="28"/>
          <w:lang w:val="uk-UA"/>
        </w:rPr>
        <w:t xml:space="preserve"> – моделюються сценарії масового зняття депозитів або закриття ринків запозичень, щоб оцінити, чи вистачить у банку резервів (високоліквідних активів) і які можуть бути дії. У рамках корпоративного управління створюються комітети ALCO (Asset-Liability Committee), які </w:t>
      </w:r>
      <w:r w:rsidRPr="00D13782">
        <w:rPr>
          <w:rFonts w:ascii="Times New Roman" w:hAnsi="Times New Roman" w:cs="Times New Roman"/>
          <w:sz w:val="28"/>
          <w:szCs w:val="28"/>
          <w:lang w:val="uk-UA"/>
        </w:rPr>
        <w:t>щомісячно або щотижнево аналізують структуру пасивів</w:t>
      </w:r>
      <w:r w:rsidRPr="0044358C">
        <w:rPr>
          <w:rFonts w:ascii="Times New Roman" w:hAnsi="Times New Roman" w:cs="Times New Roman"/>
          <w:sz w:val="28"/>
          <w:szCs w:val="28"/>
          <w:lang w:val="uk-UA"/>
        </w:rPr>
        <w:t xml:space="preserve">, концентрацію джерел фінансування, вартість залучення коштів тощо. Керівництво банку повинно </w:t>
      </w:r>
      <w:r w:rsidRPr="00D13782">
        <w:rPr>
          <w:rFonts w:ascii="Times New Roman" w:hAnsi="Times New Roman" w:cs="Times New Roman"/>
          <w:sz w:val="28"/>
          <w:szCs w:val="28"/>
          <w:lang w:val="uk-UA"/>
        </w:rPr>
        <w:t>ідентифікувати основні та альтернативні джерела ліквідності</w:t>
      </w:r>
      <w:r w:rsidRPr="0044358C">
        <w:rPr>
          <w:rFonts w:ascii="Times New Roman" w:hAnsi="Times New Roman" w:cs="Times New Roman"/>
          <w:sz w:val="28"/>
          <w:szCs w:val="28"/>
          <w:lang w:val="uk-UA"/>
        </w:rPr>
        <w:t xml:space="preserve"> на випадок кризи. Наприклад, на випадок відтоку депозитів – мати резервні лінії кредитування, активи, які можна швидко продати або передати в РЕПО центральному банку. Такі </w:t>
      </w:r>
      <w:r w:rsidRPr="00D13782">
        <w:rPr>
          <w:rFonts w:ascii="Times New Roman" w:hAnsi="Times New Roman" w:cs="Times New Roman"/>
          <w:sz w:val="28"/>
          <w:szCs w:val="28"/>
          <w:lang w:val="uk-UA"/>
        </w:rPr>
        <w:t>плани аварійного фінансування (contingency funding plans)</w:t>
      </w:r>
      <w:r w:rsidRPr="0044358C">
        <w:rPr>
          <w:rFonts w:ascii="Times New Roman" w:hAnsi="Times New Roman" w:cs="Times New Roman"/>
          <w:sz w:val="28"/>
          <w:szCs w:val="28"/>
          <w:lang w:val="uk-UA"/>
        </w:rPr>
        <w:t xml:space="preserve"> тепер є обов’язковим елементом політик ліквідності. Як зазначає FDIC, менеджмент банку має завчасно визначити варіанти покриття потреб у коштах при різних стресових ситуаціях (сезонні коливання, кризи довіри і т.д.) і регулярно переглядати ці плани.</w:t>
      </w:r>
    </w:p>
    <w:p w14:paraId="0C815ED6" w14:textId="644FBB06"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Сучасні банки прагнуть диверсифікувати ресурсну базу за кількома вимірами:</w:t>
      </w:r>
    </w:p>
    <w:p w14:paraId="5A1FDFE7" w14:textId="77777777" w:rsidR="0044358C" w:rsidRPr="0044358C" w:rsidRDefault="0044358C" w:rsidP="00530407">
      <w:pPr>
        <w:numPr>
          <w:ilvl w:val="0"/>
          <w:numId w:val="15"/>
        </w:numPr>
        <w:jc w:val="both"/>
        <w:rPr>
          <w:rFonts w:ascii="Times New Roman" w:hAnsi="Times New Roman" w:cs="Times New Roman"/>
          <w:sz w:val="28"/>
          <w:szCs w:val="28"/>
          <w:lang w:val="uk-UA"/>
        </w:rPr>
      </w:pPr>
      <w:r w:rsidRPr="0044358C">
        <w:rPr>
          <w:rFonts w:ascii="Times New Roman" w:hAnsi="Times New Roman" w:cs="Times New Roman"/>
          <w:i/>
          <w:iCs/>
          <w:sz w:val="28"/>
          <w:szCs w:val="28"/>
          <w:lang w:val="uk-UA"/>
        </w:rPr>
        <w:lastRenderedPageBreak/>
        <w:t>За категоріями вкладників:</w:t>
      </w:r>
      <w:r w:rsidRPr="0044358C">
        <w:rPr>
          <w:rFonts w:ascii="Times New Roman" w:hAnsi="Times New Roman" w:cs="Times New Roman"/>
          <w:sz w:val="28"/>
          <w:szCs w:val="28"/>
          <w:lang w:val="uk-UA"/>
        </w:rPr>
        <w:t xml:space="preserve"> Залучати кошти і від роздрібних клієнтів, і від корпоративних, і від державних структур, щоб не залежати від поведінки однієї групи. Концентрація депозитів в одних руках обмежується (регулятори часто вводять нормативи на максимальний розмір зобов’язань перед одним контрагентом).</w:t>
      </w:r>
    </w:p>
    <w:p w14:paraId="13DD888C" w14:textId="6B7150FB" w:rsidR="0044358C" w:rsidRPr="0044358C" w:rsidRDefault="0044358C" w:rsidP="00530407">
      <w:pPr>
        <w:numPr>
          <w:ilvl w:val="0"/>
          <w:numId w:val="15"/>
        </w:numPr>
        <w:jc w:val="both"/>
        <w:rPr>
          <w:rFonts w:ascii="Times New Roman" w:hAnsi="Times New Roman" w:cs="Times New Roman"/>
          <w:sz w:val="28"/>
          <w:szCs w:val="28"/>
          <w:lang w:val="uk-UA"/>
        </w:rPr>
      </w:pPr>
      <w:r w:rsidRPr="0044358C">
        <w:rPr>
          <w:rFonts w:ascii="Times New Roman" w:hAnsi="Times New Roman" w:cs="Times New Roman"/>
          <w:i/>
          <w:iCs/>
          <w:sz w:val="28"/>
          <w:szCs w:val="28"/>
          <w:lang w:val="uk-UA"/>
        </w:rPr>
        <w:t>За строками:</w:t>
      </w:r>
      <w:r w:rsidRPr="0044358C">
        <w:rPr>
          <w:rFonts w:ascii="Times New Roman" w:hAnsi="Times New Roman" w:cs="Times New Roman"/>
          <w:sz w:val="28"/>
          <w:szCs w:val="28"/>
          <w:lang w:val="uk-UA"/>
        </w:rPr>
        <w:t xml:space="preserve"> Підтримувати збалансований </w:t>
      </w:r>
      <w:r w:rsidRPr="00D13782">
        <w:rPr>
          <w:rFonts w:ascii="Times New Roman" w:hAnsi="Times New Roman" w:cs="Times New Roman"/>
          <w:sz w:val="28"/>
          <w:szCs w:val="28"/>
          <w:lang w:val="uk-UA"/>
        </w:rPr>
        <w:t>строковий розрив</w:t>
      </w:r>
      <w:r w:rsidRPr="0044358C">
        <w:rPr>
          <w:rFonts w:ascii="Times New Roman" w:hAnsi="Times New Roman" w:cs="Times New Roman"/>
          <w:sz w:val="28"/>
          <w:szCs w:val="28"/>
          <w:lang w:val="uk-UA"/>
        </w:rPr>
        <w:t xml:space="preserve"> – тобто якщо видаються довгі кредити, то і в пасивах мати достатньо довгих коштів (вкладень на рік і більше, випусків облігацій). Запровадження NSFR прямо стимулює це, вимагаючи певної частки довгострокового фінансування. Банки планують графік погашення своїх боргів, аби уникати “стін погашення” (коли великий обсяг боргів або депозитів спливає в один момент).</w:t>
      </w:r>
    </w:p>
    <w:p w14:paraId="34CC1E5A" w14:textId="77777777" w:rsidR="0044358C" w:rsidRPr="0044358C" w:rsidRDefault="0044358C" w:rsidP="00530407">
      <w:pPr>
        <w:numPr>
          <w:ilvl w:val="0"/>
          <w:numId w:val="15"/>
        </w:numPr>
        <w:jc w:val="both"/>
        <w:rPr>
          <w:rFonts w:ascii="Times New Roman" w:hAnsi="Times New Roman" w:cs="Times New Roman"/>
          <w:sz w:val="28"/>
          <w:szCs w:val="28"/>
          <w:lang w:val="uk-UA"/>
        </w:rPr>
      </w:pPr>
      <w:r w:rsidRPr="0044358C">
        <w:rPr>
          <w:rFonts w:ascii="Times New Roman" w:hAnsi="Times New Roman" w:cs="Times New Roman"/>
          <w:i/>
          <w:iCs/>
          <w:sz w:val="28"/>
          <w:szCs w:val="28"/>
          <w:lang w:val="uk-UA"/>
        </w:rPr>
        <w:t>За інструментами:</w:t>
      </w:r>
      <w:r w:rsidRPr="0044358C">
        <w:rPr>
          <w:rFonts w:ascii="Times New Roman" w:hAnsi="Times New Roman" w:cs="Times New Roman"/>
          <w:sz w:val="28"/>
          <w:szCs w:val="28"/>
          <w:lang w:val="uk-UA"/>
        </w:rPr>
        <w:t xml:space="preserve"> Окрім депозитів, банк може одночасно мати емітовані єврооблігації, кредити від міжнародних організацій, субординований борг, облігації внутрішнього ринку – тобто різні канали. Це підвищує стійкість, бо криза на одному ринку (скажімо, внутрішня паніка вкладників) може бути компенсована підтримкою з іншого (наприклад, зовнішньої лінії від МФО).</w:t>
      </w:r>
    </w:p>
    <w:p w14:paraId="15B54514" w14:textId="77777777" w:rsidR="0044358C" w:rsidRPr="0044358C" w:rsidRDefault="0044358C" w:rsidP="00530407">
      <w:pPr>
        <w:numPr>
          <w:ilvl w:val="0"/>
          <w:numId w:val="15"/>
        </w:numPr>
        <w:jc w:val="both"/>
        <w:rPr>
          <w:rFonts w:ascii="Times New Roman" w:hAnsi="Times New Roman" w:cs="Times New Roman"/>
          <w:sz w:val="28"/>
          <w:szCs w:val="28"/>
          <w:lang w:val="uk-UA"/>
        </w:rPr>
      </w:pPr>
      <w:r w:rsidRPr="0044358C">
        <w:rPr>
          <w:rFonts w:ascii="Times New Roman" w:hAnsi="Times New Roman" w:cs="Times New Roman"/>
          <w:i/>
          <w:iCs/>
          <w:sz w:val="28"/>
          <w:szCs w:val="28"/>
          <w:lang w:val="uk-UA"/>
        </w:rPr>
        <w:t>За валютою:</w:t>
      </w:r>
      <w:r w:rsidRPr="0044358C">
        <w:rPr>
          <w:rFonts w:ascii="Times New Roman" w:hAnsi="Times New Roman" w:cs="Times New Roman"/>
          <w:sz w:val="28"/>
          <w:szCs w:val="28"/>
          <w:lang w:val="uk-UA"/>
        </w:rPr>
        <w:t xml:space="preserve"> Банки також слідкують, щоб не створювати великі валютні дисбаланси. Якщо залучають багато валюти (наприклад, доларові депозити), то або мають видавати кредити в доларах, або хеджувати валютний ризик. Інакше, при девальвації виникне проблема з погашенням валютних зобов’язань.</w:t>
      </w:r>
    </w:p>
    <w:p w14:paraId="6627D6B2" w14:textId="2B467156"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Одним зі стратегічних рішень є тримати певний обсяг </w:t>
      </w:r>
      <w:r w:rsidRPr="00D13782">
        <w:rPr>
          <w:rFonts w:ascii="Times New Roman" w:hAnsi="Times New Roman" w:cs="Times New Roman"/>
          <w:sz w:val="28"/>
          <w:szCs w:val="28"/>
          <w:lang w:val="uk-UA"/>
        </w:rPr>
        <w:t>високоліквідних активів</w:t>
      </w:r>
      <w:r w:rsidRPr="0044358C">
        <w:rPr>
          <w:rFonts w:ascii="Times New Roman" w:hAnsi="Times New Roman" w:cs="Times New Roman"/>
          <w:sz w:val="28"/>
          <w:szCs w:val="28"/>
          <w:lang w:val="uk-UA"/>
        </w:rPr>
        <w:t xml:space="preserve"> (готівка, кошти на коррахунку, державні цінні папери, депозити в інших банках з коротким строком) – фактично </w:t>
      </w:r>
      <w:r w:rsidRPr="00D13782">
        <w:rPr>
          <w:rFonts w:ascii="Times New Roman" w:hAnsi="Times New Roman" w:cs="Times New Roman"/>
          <w:sz w:val="28"/>
          <w:szCs w:val="28"/>
          <w:lang w:val="uk-UA"/>
        </w:rPr>
        <w:t>буфер ліквідності</w:t>
      </w:r>
      <w:r w:rsidRPr="0044358C">
        <w:rPr>
          <w:rFonts w:ascii="Times New Roman" w:hAnsi="Times New Roman" w:cs="Times New Roman"/>
          <w:sz w:val="28"/>
          <w:szCs w:val="28"/>
          <w:lang w:val="uk-UA"/>
        </w:rPr>
        <w:t>. Вимога LCR регулює мінімум такого буфера, але багато банків добровільно утримують ліквідність вище нормативу, особливо якщо є волатильність у залучених коштах. Цей буфер – перша лінія захисту при відтоку ресурсів: його можна швидко конвертувати в гроші для виплат клієнтам. Наприклад, Нацбанк України зобов’язав з 2021 року всі банки тримати частину обов’язкових резервів на окремому рахунку без права використання – це теж примусовий ліквідний резерв для підвищення надійності.</w:t>
      </w:r>
    </w:p>
    <w:p w14:paraId="216460FA" w14:textId="075D81F4"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lastRenderedPageBreak/>
        <w:t xml:space="preserve">Стратегія включає і контроль за вартістю залучення коштів. Банк має балансувати між залученням достатніх ресурсів і збереженням прийнятної маржі. Якщо ситуація напружена (втрати вкладників), банки можуть різко піднімати ставки за депозитами, що здорожчує ресурсну базу і тисне на прибуток. Тому стратегічно краще підтримувати довіру і </w:t>
      </w:r>
      <w:r w:rsidRPr="00D13782">
        <w:rPr>
          <w:rFonts w:ascii="Times New Roman" w:hAnsi="Times New Roman" w:cs="Times New Roman"/>
          <w:sz w:val="28"/>
          <w:szCs w:val="28"/>
          <w:lang w:val="uk-UA"/>
        </w:rPr>
        <w:t>репутацію надійності</w:t>
      </w:r>
      <w:r w:rsidRPr="0044358C">
        <w:rPr>
          <w:rFonts w:ascii="Times New Roman" w:hAnsi="Times New Roman" w:cs="Times New Roman"/>
          <w:sz w:val="28"/>
          <w:szCs w:val="28"/>
          <w:lang w:val="uk-UA"/>
        </w:rPr>
        <w:t>, ніж потім конкурувати лише ціною. Сучасні клієнти обирають банк не тільки за ставкою, а й за брендом, сервісом, наявністю гарантій (державні гарантії вкладів). Банки, що інвестують у довіру, можуть утримувати стабільні ресурси навіть за нижчої ціни.</w:t>
      </w:r>
    </w:p>
    <w:p w14:paraId="22E92965" w14:textId="30F1C206" w:rsidR="0044358C" w:rsidRPr="0044358C" w:rsidRDefault="0044358C" w:rsidP="00D13782">
      <w:pPr>
        <w:ind w:firstLine="709"/>
        <w:jc w:val="both"/>
        <w:rPr>
          <w:rFonts w:ascii="Times New Roman" w:hAnsi="Times New Roman" w:cs="Times New Roman"/>
          <w:sz w:val="28"/>
          <w:szCs w:val="28"/>
          <w:lang w:val="uk-UA"/>
        </w:rPr>
      </w:pPr>
      <w:r w:rsidRPr="0044358C">
        <w:rPr>
          <w:rFonts w:ascii="Times New Roman" w:hAnsi="Times New Roman" w:cs="Times New Roman"/>
          <w:sz w:val="28"/>
          <w:szCs w:val="28"/>
          <w:lang w:val="uk-UA"/>
        </w:rPr>
        <w:t xml:space="preserve">На завершення, стратегічне управління ресурсами є багатогранним: від дотримання нормативів ліквідності/платоспроможності до гнучкого використання нових інструментів фінансування. Головна мета – забезпечити, щоб </w:t>
      </w:r>
      <w:r w:rsidRPr="00D13782">
        <w:rPr>
          <w:rFonts w:ascii="Times New Roman" w:hAnsi="Times New Roman" w:cs="Times New Roman"/>
          <w:sz w:val="28"/>
          <w:szCs w:val="28"/>
          <w:lang w:val="uk-UA"/>
        </w:rPr>
        <w:t>ресурсна база була достатньою, стійкою та диверсифікованою</w:t>
      </w:r>
      <w:r w:rsidRPr="0044358C">
        <w:rPr>
          <w:rFonts w:ascii="Times New Roman" w:hAnsi="Times New Roman" w:cs="Times New Roman"/>
          <w:sz w:val="28"/>
          <w:szCs w:val="28"/>
          <w:lang w:val="uk-UA"/>
        </w:rPr>
        <w:t xml:space="preserve">, аби банк міг виконувати свої зобов’язання в будь-яких ринкових умовах і водночас фінансувати розвиток економіки. Сучасні міжнародні практики і стандарти нагляду служать дороговказом у досягненні цієї мети, а досвід останніх криз наголошує: </w:t>
      </w:r>
      <w:r w:rsidRPr="00D13782">
        <w:rPr>
          <w:rFonts w:ascii="Times New Roman" w:hAnsi="Times New Roman" w:cs="Times New Roman"/>
          <w:sz w:val="28"/>
          <w:szCs w:val="28"/>
          <w:lang w:val="uk-UA"/>
        </w:rPr>
        <w:t>якість і стабільність ресурсної бази є визначальними для виживання і успіху банку</w:t>
      </w:r>
      <w:r w:rsidRPr="0044358C">
        <w:rPr>
          <w:rFonts w:ascii="Times New Roman" w:hAnsi="Times New Roman" w:cs="Times New Roman"/>
          <w:sz w:val="28"/>
          <w:szCs w:val="28"/>
          <w:lang w:val="uk-UA"/>
        </w:rPr>
        <w:t xml:space="preserve">. </w:t>
      </w:r>
    </w:p>
    <w:p w14:paraId="2CF8B9D0" w14:textId="39DCD13A" w:rsidR="00AC3759" w:rsidRPr="00FA3A2E" w:rsidRDefault="00AC3759" w:rsidP="00530407">
      <w:pPr>
        <w:jc w:val="both"/>
        <w:rPr>
          <w:rFonts w:ascii="Times New Roman" w:hAnsi="Times New Roman" w:cs="Times New Roman"/>
          <w:sz w:val="28"/>
          <w:szCs w:val="28"/>
          <w:lang w:val="uk-UA"/>
        </w:rPr>
      </w:pPr>
    </w:p>
    <w:sectPr w:rsidR="00AC3759" w:rsidRPr="00FA3A2E"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125"/>
    <w:multiLevelType w:val="multilevel"/>
    <w:tmpl w:val="642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65BBE"/>
    <w:multiLevelType w:val="multilevel"/>
    <w:tmpl w:val="A2C6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25F15"/>
    <w:multiLevelType w:val="multilevel"/>
    <w:tmpl w:val="F22C29F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E37"/>
    <w:multiLevelType w:val="multilevel"/>
    <w:tmpl w:val="6E40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C5CB9"/>
    <w:multiLevelType w:val="hybridMultilevel"/>
    <w:tmpl w:val="CB5E7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3A522D"/>
    <w:multiLevelType w:val="hybridMultilevel"/>
    <w:tmpl w:val="9836E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AC4453"/>
    <w:multiLevelType w:val="multilevel"/>
    <w:tmpl w:val="F1305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2E3599"/>
    <w:multiLevelType w:val="multilevel"/>
    <w:tmpl w:val="0BEA611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A5076A"/>
    <w:multiLevelType w:val="multilevel"/>
    <w:tmpl w:val="D602925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FD0453"/>
    <w:multiLevelType w:val="multilevel"/>
    <w:tmpl w:val="E1F4DB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7123B8"/>
    <w:multiLevelType w:val="multilevel"/>
    <w:tmpl w:val="1E24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D3776D"/>
    <w:multiLevelType w:val="multilevel"/>
    <w:tmpl w:val="FF7A927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E81D14"/>
    <w:multiLevelType w:val="multilevel"/>
    <w:tmpl w:val="9C50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CD3CF3"/>
    <w:multiLevelType w:val="multilevel"/>
    <w:tmpl w:val="12F2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85662E"/>
    <w:multiLevelType w:val="multilevel"/>
    <w:tmpl w:val="8BB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3"/>
  </w:num>
  <w:num w:numId="4">
    <w:abstractNumId w:val="10"/>
  </w:num>
  <w:num w:numId="5">
    <w:abstractNumId w:val="12"/>
  </w:num>
  <w:num w:numId="6">
    <w:abstractNumId w:val="8"/>
  </w:num>
  <w:num w:numId="7">
    <w:abstractNumId w:val="7"/>
  </w:num>
  <w:num w:numId="8">
    <w:abstractNumId w:val="2"/>
  </w:num>
  <w:num w:numId="9">
    <w:abstractNumId w:val="5"/>
  </w:num>
  <w:num w:numId="10">
    <w:abstractNumId w:val="4"/>
  </w:num>
  <w:num w:numId="11">
    <w:abstractNumId w:val="11"/>
  </w:num>
  <w:num w:numId="12">
    <w:abstractNumId w:val="9"/>
  </w:num>
  <w:num w:numId="13">
    <w:abstractNumId w:val="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9"/>
    <w:rsid w:val="000A5500"/>
    <w:rsid w:val="0032686C"/>
    <w:rsid w:val="00383B65"/>
    <w:rsid w:val="003E6713"/>
    <w:rsid w:val="00401C7F"/>
    <w:rsid w:val="0044358C"/>
    <w:rsid w:val="00485A92"/>
    <w:rsid w:val="004A4BC2"/>
    <w:rsid w:val="004A7FBE"/>
    <w:rsid w:val="00530407"/>
    <w:rsid w:val="005F520A"/>
    <w:rsid w:val="006976CF"/>
    <w:rsid w:val="00724A54"/>
    <w:rsid w:val="007A71E9"/>
    <w:rsid w:val="007F3B26"/>
    <w:rsid w:val="00860480"/>
    <w:rsid w:val="009F77C3"/>
    <w:rsid w:val="00AB3C2C"/>
    <w:rsid w:val="00AC3759"/>
    <w:rsid w:val="00CB0098"/>
    <w:rsid w:val="00CD0D5C"/>
    <w:rsid w:val="00D13782"/>
    <w:rsid w:val="00DD3711"/>
    <w:rsid w:val="00E53457"/>
    <w:rsid w:val="00E925AC"/>
    <w:rsid w:val="00F05828"/>
    <w:rsid w:val="00FA3A2E"/>
    <w:rsid w:val="00FA583F"/>
    <w:rsid w:val="00FC7A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C403B"/>
  <w15:chartTrackingRefBased/>
  <w15:docId w15:val="{0E8907B8-00B2-41F3-AE64-3C1C7AC5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C7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C7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C7A1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C7A1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C7A1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C7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C7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C7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C7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7A1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C7A1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C7A1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C7A1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C7A1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C7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C7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FC7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C7A19"/>
    <w:rPr>
      <w:rFonts w:eastAsiaTheme="majorEastAsia" w:cstheme="majorBidi"/>
      <w:color w:val="272727" w:themeColor="text1" w:themeTint="D8"/>
    </w:rPr>
  </w:style>
  <w:style w:type="paragraph" w:styleId="a3">
    <w:name w:val="Title"/>
    <w:basedOn w:val="a"/>
    <w:next w:val="a"/>
    <w:link w:val="a4"/>
    <w:uiPriority w:val="10"/>
    <w:qFormat/>
    <w:rsid w:val="00FC7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7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C7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C7A19"/>
    <w:pPr>
      <w:spacing w:before="160"/>
      <w:jc w:val="center"/>
    </w:pPr>
    <w:rPr>
      <w:i/>
      <w:iCs/>
      <w:color w:val="404040" w:themeColor="text1" w:themeTint="BF"/>
    </w:rPr>
  </w:style>
  <w:style w:type="character" w:customStyle="1" w:styleId="22">
    <w:name w:val="Цитата 2 Знак"/>
    <w:basedOn w:val="a0"/>
    <w:link w:val="21"/>
    <w:uiPriority w:val="29"/>
    <w:rsid w:val="00FC7A19"/>
    <w:rPr>
      <w:i/>
      <w:iCs/>
      <w:color w:val="404040" w:themeColor="text1" w:themeTint="BF"/>
    </w:rPr>
  </w:style>
  <w:style w:type="paragraph" w:styleId="a7">
    <w:name w:val="List Paragraph"/>
    <w:basedOn w:val="a"/>
    <w:uiPriority w:val="34"/>
    <w:qFormat/>
    <w:rsid w:val="00FC7A19"/>
    <w:pPr>
      <w:ind w:left="720"/>
      <w:contextualSpacing/>
    </w:pPr>
  </w:style>
  <w:style w:type="character" w:styleId="a8">
    <w:name w:val="Intense Emphasis"/>
    <w:basedOn w:val="a0"/>
    <w:uiPriority w:val="21"/>
    <w:qFormat/>
    <w:rsid w:val="00FC7A19"/>
    <w:rPr>
      <w:i/>
      <w:iCs/>
      <w:color w:val="0F4761" w:themeColor="accent1" w:themeShade="BF"/>
    </w:rPr>
  </w:style>
  <w:style w:type="paragraph" w:styleId="a9">
    <w:name w:val="Intense Quote"/>
    <w:basedOn w:val="a"/>
    <w:next w:val="a"/>
    <w:link w:val="aa"/>
    <w:uiPriority w:val="30"/>
    <w:qFormat/>
    <w:rsid w:val="00FC7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C7A19"/>
    <w:rPr>
      <w:i/>
      <w:iCs/>
      <w:color w:val="0F4761" w:themeColor="accent1" w:themeShade="BF"/>
    </w:rPr>
  </w:style>
  <w:style w:type="character" w:styleId="ab">
    <w:name w:val="Intense Reference"/>
    <w:basedOn w:val="a0"/>
    <w:uiPriority w:val="32"/>
    <w:qFormat/>
    <w:rsid w:val="00FC7A19"/>
    <w:rPr>
      <w:b/>
      <w:bCs/>
      <w:smallCaps/>
      <w:color w:val="0F4761" w:themeColor="accent1" w:themeShade="BF"/>
      <w:spacing w:val="5"/>
    </w:rPr>
  </w:style>
  <w:style w:type="character" w:styleId="ac">
    <w:name w:val="Hyperlink"/>
    <w:basedOn w:val="a0"/>
    <w:uiPriority w:val="99"/>
    <w:unhideWhenUsed/>
    <w:rsid w:val="0044358C"/>
    <w:rPr>
      <w:color w:val="467886" w:themeColor="hyperlink"/>
      <w:u w:val="single"/>
    </w:rPr>
  </w:style>
  <w:style w:type="character" w:customStyle="1" w:styleId="UnresolvedMention">
    <w:name w:val="Unresolved Mention"/>
    <w:basedOn w:val="a0"/>
    <w:uiPriority w:val="99"/>
    <w:semiHidden/>
    <w:unhideWhenUsed/>
    <w:rsid w:val="00443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1777">
      <w:bodyDiv w:val="1"/>
      <w:marLeft w:val="0"/>
      <w:marRight w:val="0"/>
      <w:marTop w:val="0"/>
      <w:marBottom w:val="0"/>
      <w:divBdr>
        <w:top w:val="none" w:sz="0" w:space="0" w:color="auto"/>
        <w:left w:val="none" w:sz="0" w:space="0" w:color="auto"/>
        <w:bottom w:val="none" w:sz="0" w:space="0" w:color="auto"/>
        <w:right w:val="none" w:sz="0" w:space="0" w:color="auto"/>
      </w:divBdr>
    </w:div>
    <w:div w:id="188566261">
      <w:bodyDiv w:val="1"/>
      <w:marLeft w:val="0"/>
      <w:marRight w:val="0"/>
      <w:marTop w:val="0"/>
      <w:marBottom w:val="0"/>
      <w:divBdr>
        <w:top w:val="none" w:sz="0" w:space="0" w:color="auto"/>
        <w:left w:val="none" w:sz="0" w:space="0" w:color="auto"/>
        <w:bottom w:val="none" w:sz="0" w:space="0" w:color="auto"/>
        <w:right w:val="none" w:sz="0" w:space="0" w:color="auto"/>
      </w:divBdr>
    </w:div>
    <w:div w:id="389497035">
      <w:bodyDiv w:val="1"/>
      <w:marLeft w:val="0"/>
      <w:marRight w:val="0"/>
      <w:marTop w:val="0"/>
      <w:marBottom w:val="0"/>
      <w:divBdr>
        <w:top w:val="none" w:sz="0" w:space="0" w:color="auto"/>
        <w:left w:val="none" w:sz="0" w:space="0" w:color="auto"/>
        <w:bottom w:val="none" w:sz="0" w:space="0" w:color="auto"/>
        <w:right w:val="none" w:sz="0" w:space="0" w:color="auto"/>
      </w:divBdr>
    </w:div>
    <w:div w:id="554240849">
      <w:bodyDiv w:val="1"/>
      <w:marLeft w:val="0"/>
      <w:marRight w:val="0"/>
      <w:marTop w:val="0"/>
      <w:marBottom w:val="0"/>
      <w:divBdr>
        <w:top w:val="none" w:sz="0" w:space="0" w:color="auto"/>
        <w:left w:val="none" w:sz="0" w:space="0" w:color="auto"/>
        <w:bottom w:val="none" w:sz="0" w:space="0" w:color="auto"/>
        <w:right w:val="none" w:sz="0" w:space="0" w:color="auto"/>
      </w:divBdr>
    </w:div>
    <w:div w:id="801729319">
      <w:bodyDiv w:val="1"/>
      <w:marLeft w:val="0"/>
      <w:marRight w:val="0"/>
      <w:marTop w:val="0"/>
      <w:marBottom w:val="0"/>
      <w:divBdr>
        <w:top w:val="none" w:sz="0" w:space="0" w:color="auto"/>
        <w:left w:val="none" w:sz="0" w:space="0" w:color="auto"/>
        <w:bottom w:val="none" w:sz="0" w:space="0" w:color="auto"/>
        <w:right w:val="none" w:sz="0" w:space="0" w:color="auto"/>
      </w:divBdr>
    </w:div>
    <w:div w:id="1635061188">
      <w:bodyDiv w:val="1"/>
      <w:marLeft w:val="0"/>
      <w:marRight w:val="0"/>
      <w:marTop w:val="0"/>
      <w:marBottom w:val="0"/>
      <w:divBdr>
        <w:top w:val="none" w:sz="0" w:space="0" w:color="auto"/>
        <w:left w:val="none" w:sz="0" w:space="0" w:color="auto"/>
        <w:bottom w:val="none" w:sz="0" w:space="0" w:color="auto"/>
        <w:right w:val="none" w:sz="0" w:space="0" w:color="auto"/>
      </w:divBdr>
    </w:div>
    <w:div w:id="1805465707">
      <w:bodyDiv w:val="1"/>
      <w:marLeft w:val="0"/>
      <w:marRight w:val="0"/>
      <w:marTop w:val="0"/>
      <w:marBottom w:val="0"/>
      <w:divBdr>
        <w:top w:val="none" w:sz="0" w:space="0" w:color="auto"/>
        <w:left w:val="none" w:sz="0" w:space="0" w:color="auto"/>
        <w:bottom w:val="none" w:sz="0" w:space="0" w:color="auto"/>
        <w:right w:val="none" w:sz="0" w:space="0" w:color="auto"/>
      </w:divBdr>
    </w:div>
    <w:div w:id="18847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3652</Words>
  <Characters>20818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2025-03-09T14:15:00Z</dcterms:created>
  <dcterms:modified xsi:type="dcterms:W3CDTF">2025-03-09T14:15:00Z</dcterms:modified>
</cp:coreProperties>
</file>