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9AB9" w14:textId="4C0B5E68" w:rsidR="00580A41" w:rsidRPr="00205F9F" w:rsidRDefault="00C16930" w:rsidP="00C169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580A41" w:rsidRPr="00205F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7. УПРАВЛІННЯ БАНКІВСЬКИМИ РИЗИКАМИ</w:t>
      </w:r>
    </w:p>
    <w:bookmarkEnd w:id="0"/>
    <w:p w14:paraId="2176B365" w14:textId="77777777" w:rsidR="004E104A" w:rsidRPr="004E104A" w:rsidRDefault="004E104A" w:rsidP="00C169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управління ризиками та його значення</w:t>
      </w:r>
    </w:p>
    <w:p w14:paraId="61CCFBE3" w14:textId="4F2FCD92" w:rsidR="004E104A" w:rsidRPr="00EF5150" w:rsidRDefault="004E104A" w:rsidP="00EF51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150">
        <w:rPr>
          <w:rFonts w:ascii="Times New Roman" w:hAnsi="Times New Roman" w:cs="Times New Roman"/>
          <w:i/>
          <w:iCs/>
          <w:sz w:val="28"/>
          <w:szCs w:val="28"/>
          <w:lang w:val="uk-UA"/>
        </w:rPr>
        <w:t>Управління банківськими ризиками –</w:t>
      </w:r>
      <w:r w:rsidRPr="00EF5150">
        <w:rPr>
          <w:rFonts w:ascii="Times New Roman" w:hAnsi="Times New Roman" w:cs="Times New Roman"/>
          <w:sz w:val="28"/>
          <w:szCs w:val="28"/>
          <w:lang w:val="uk-UA"/>
        </w:rPr>
        <w:t xml:space="preserve"> це системний процес ідентифікації, оцінки та пом’якшення всіх видів ризиків, з якими стикається банк у своїй діяльності. До традиційних банківських ризиків належать кредитний ризик, ринковий ризик, ризик ліквідності, операційний та </w:t>
      </w:r>
      <w:proofErr w:type="spellStart"/>
      <w:r w:rsidRPr="00EF5150">
        <w:rPr>
          <w:rFonts w:ascii="Times New Roman" w:hAnsi="Times New Roman" w:cs="Times New Roman"/>
          <w:sz w:val="28"/>
          <w:szCs w:val="28"/>
          <w:lang w:val="uk-UA"/>
        </w:rPr>
        <w:t>комплаєнс</w:t>
      </w:r>
      <w:proofErr w:type="spellEnd"/>
      <w:r w:rsidRPr="00EF5150">
        <w:rPr>
          <w:rFonts w:ascii="Times New Roman" w:hAnsi="Times New Roman" w:cs="Times New Roman"/>
          <w:sz w:val="28"/>
          <w:szCs w:val="28"/>
          <w:lang w:val="uk-UA"/>
        </w:rPr>
        <w:t>-ризик. Головна мета управління ризиками – захист фінансової стійкості банку, акціонерної вартості та довіри клієнтів, а також забезпечення дотримання регуляторних вимог.</w:t>
      </w:r>
    </w:p>
    <w:p w14:paraId="0FE81746" w14:textId="28D0CF72" w:rsidR="004E104A" w:rsidRPr="00EF5150" w:rsidRDefault="004E104A" w:rsidP="00EF515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5150">
        <w:rPr>
          <w:rFonts w:ascii="Times New Roman" w:hAnsi="Times New Roman" w:cs="Times New Roman"/>
          <w:sz w:val="28"/>
          <w:szCs w:val="28"/>
          <w:lang w:val="uk-UA"/>
        </w:rPr>
        <w:t xml:space="preserve">У сучасному фінансовому середовищі значення ризик-менеджменту лише зросло. Складні глобальні зв’язки, цифровізація та нові загрози роблять банки більш вразливими, тож ефективне управління ризиками перетворилося на конкурентну перевагу банку, а не лише на засіб захисту. Нещодавні резонансні інциденти (наприклад, серія крахів банків у 2023 році) продемонстрували, що нехтування принципами управління ризиками може призвести до швидкої втрати ліквідності та довіри, ставлячи під загрозу саму життєздатність банку. Як відзначає експерт </w:t>
      </w:r>
      <w:proofErr w:type="spellStart"/>
      <w:r w:rsidRPr="00EF5150">
        <w:rPr>
          <w:rFonts w:ascii="Times New Roman" w:hAnsi="Times New Roman" w:cs="Times New Roman"/>
          <w:sz w:val="28"/>
          <w:szCs w:val="28"/>
          <w:lang w:val="uk-UA"/>
        </w:rPr>
        <w:t>Sudhir</w:t>
      </w:r>
      <w:proofErr w:type="spellEnd"/>
      <w:r w:rsidRPr="00EF51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5150">
        <w:rPr>
          <w:rFonts w:ascii="Times New Roman" w:hAnsi="Times New Roman" w:cs="Times New Roman"/>
          <w:sz w:val="28"/>
          <w:szCs w:val="28"/>
          <w:lang w:val="uk-UA"/>
        </w:rPr>
        <w:t>Pai</w:t>
      </w:r>
      <w:proofErr w:type="spellEnd"/>
      <w:r w:rsidRPr="00EF5150">
        <w:rPr>
          <w:rFonts w:ascii="Times New Roman" w:hAnsi="Times New Roman" w:cs="Times New Roman"/>
          <w:sz w:val="28"/>
          <w:szCs w:val="28"/>
          <w:lang w:val="uk-UA"/>
        </w:rPr>
        <w:t>, у фінансовому секторі ризик-менеджмент відтепер є ядром кожного процесу – без належної уваги до ризиків та інвестицій у дані й інфраструктуру жодна банківська операція не може вважатися стійкою.</w:t>
      </w:r>
    </w:p>
    <w:p w14:paraId="55D189CE" w14:textId="77777777" w:rsidR="004E104A" w:rsidRPr="004E104A" w:rsidRDefault="004E104A" w:rsidP="007F1A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Класифікація банківських ризиків у сучасних умовах</w:t>
      </w:r>
    </w:p>
    <w:p w14:paraId="62A09893" w14:textId="77777777" w:rsidR="004E104A" w:rsidRPr="004E104A" w:rsidRDefault="004E104A" w:rsidP="003A3E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>Банки традиційно класифікують ризики на кілька ключових категорій:</w:t>
      </w:r>
    </w:p>
    <w:p w14:paraId="460A1917" w14:textId="77777777" w:rsidR="004E104A" w:rsidRPr="004E104A" w:rsidRDefault="004E104A" w:rsidP="003A3E1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Кредитний ризик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небезпека невиконання позичальниками своїх зобов’язань.</w:t>
      </w:r>
    </w:p>
    <w:p w14:paraId="0C717175" w14:textId="77777777" w:rsidR="004E104A" w:rsidRPr="004E104A" w:rsidRDefault="004E104A" w:rsidP="003A3E1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Ринковий ризик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можливі збитки від змін ринкових цін (процентних ставок, валютних курсів, вартості цінних паперів).</w:t>
      </w:r>
    </w:p>
    <w:p w14:paraId="771A50C5" w14:textId="77777777" w:rsidR="004E104A" w:rsidRPr="004E104A" w:rsidRDefault="004E104A" w:rsidP="003A3E1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Ризик ліквідності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>– небезпека нестачі коштів для виконання своїх зобов’язань у строк.</w:t>
      </w:r>
    </w:p>
    <w:p w14:paraId="47998968" w14:textId="77777777" w:rsidR="004E104A" w:rsidRPr="004E104A" w:rsidRDefault="004E104A" w:rsidP="003A3E1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Операційний ризик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втрати через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збої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внутрішніх процесів, людські помилки чи шахрайство, а також зовнішні події.</w:t>
      </w:r>
    </w:p>
    <w:p w14:paraId="68392DBA" w14:textId="3072D0F0" w:rsidR="004E104A" w:rsidRPr="004E104A" w:rsidRDefault="004E104A" w:rsidP="003A3E1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Ризик невідповідності</w:t>
      </w:r>
      <w:r w:rsid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>– ризик втрат від штрафів та збитків репутації через недотримання законів і нормативів.</w:t>
      </w:r>
    </w:p>
    <w:p w14:paraId="749C1554" w14:textId="77777777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Новітні тенденції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привели до виокремлення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нових видів ризиків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>, які раніше не отримували достатньої уваги. Зокрема, сьогодні банки приділяють значну увагу:</w:t>
      </w:r>
    </w:p>
    <w:p w14:paraId="22EB32C6" w14:textId="0C6C86D5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Кіберризику та ІТ-ризику.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Стрімка діджиталізація породила ризики кібербезпеки та втрати даних. Кіберризик нині розглядається окремо (як підвид операційного ризику) – це загроза атак на інформаційні системи банку, витоку конфіденційних даних чи порушення безперервності цифрових сервісів. Наприклад,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НБУ у 2023 році офіційно виокремив ризики інформаційно-комунікаційних технологій та кібербезпеки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 структурі операційного ризику, що підкреслює актуальність цієї загрози. Одночасно впроваджено чіткі вимоги до управління цими ризиками згідно із законами про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кібербезпеку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07A821" w14:textId="73AF8297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Кліматичним та ESG-ризикам.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Зростають екологічні й соціальні ризики, що впливають на банки.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Кліматичний ризик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включає фізичні ризики (прямі втрати від екстремальних погодних явищ, стихійних лих) та ризики переходу (фінансові втрати через перехід до низьковуглецевої економіки, наприклад знецінення активів у вугільній промисловості). Регулятори вимагають враховувати ці аспекти: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належне управління ESG-ризиками визнається передумовою сталості банківського сектора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В Європі банки інтегрують кліматичні фактори у свої кредитні моделі та стрес-тести, хоча опитування показують, що ~60% банків ще розвивають відповідні методики. ESG-ризики також охоплюють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соціальні та управлінські фактори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наприклад, ризик репутаційних втрат через недотримання прав людини або невідповідність корпоративного управління найкращим практикам.</w:t>
      </w:r>
    </w:p>
    <w:p w14:paraId="24C9B76E" w14:textId="5F671E10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Ризику моделей.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складних математичних моделей та алгоритмів (особливо на основі штучного інтелекту) породжує ризик помилок моделей. Неправильна модель оцінки кредитоспроможності або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VaR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може призвести до недооцінки ризиків і значних збитків. Тому зараз банки впроваджують суворі процедури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валідації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моделей та контролю їх якості. Наприклад, під час кризи 2008 року стало очевидно, що ненадійні моделі оцінки іпотечних паперів сприяли катастрофічним наслідкам – це урок, який закріплено в сучасних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регуляціях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щодо управління ризиком моделей.</w:t>
      </w:r>
    </w:p>
    <w:p w14:paraId="698ECEB3" w14:textId="77777777" w:rsidR="004E104A" w:rsidRPr="00CF76E6" w:rsidRDefault="004E104A" w:rsidP="00CF76E6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Ризику третьої сторони.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Широке використання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аутсорсингу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фінтех-партнерів та хмарних сервісів створило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 xml:space="preserve">ризик залежності від сторонніх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провайдерів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Збої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або неплатоспроможність критично важливого постачальника ІТ-послуг можуть прямо вплинути на банк. Тому банки запроваджують моніторинг ризиків контрагентів та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плани безперервності бізнесу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на випадок проблем у партнерів. Зокрема, європейське регулювання DORA (див. нижче) вимагає посилити оцінку ризиків постачальників технологій.</w:t>
      </w:r>
    </w:p>
    <w:p w14:paraId="269C9DC4" w14:textId="2F31D2AB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Геополітичним та макроекономічним ризикам.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Сучасні банки враховують загрозу геополітичної нестабільності (санкції, військові конфлікти) і різких змін макроекономічних умов. Події на кшталт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Brexit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чи війни можуть спричинити одночасно і кредитні втрати (через спад економіки), і ринкові збитки, і ризик ліквідності. Наприклад,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proofErr w:type="spellStart"/>
      <w:r w:rsidRPr="00CF76E6">
        <w:rPr>
          <w:rFonts w:ascii="Times New Roman" w:hAnsi="Times New Roman" w:cs="Times New Roman"/>
          <w:sz w:val="28"/>
          <w:szCs w:val="28"/>
          <w:lang w:val="uk-UA"/>
        </w:rPr>
        <w:t>PwC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відзначає, що банки нині мусять маневрувати в умовах і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кіберзагроз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>, і екологічних ризиків, і геополітичної невизначеності, які накладаються одночасно. Це вимагає гнучкішої та всеосяжної системи класифікації та моніторингу ризиків.</w:t>
      </w:r>
    </w:p>
    <w:p w14:paraId="615D41E4" w14:textId="256BAEAF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сучасна класифікація ризиків є багатовимірною. Вона поєднує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класичні фінансові ризики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з акцентом на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новітні загрози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>, клімат, ESG, модельні, тощо). Банки переглядають внутрішні політики, щоб чітко визначити відповідальних за кожен новий сегмент ризику, та інтегрують ці фактори у загальну стратегію ризик-менеджменту.</w:t>
      </w:r>
    </w:p>
    <w:p w14:paraId="51B5B1ED" w14:textId="77777777" w:rsidR="004E104A" w:rsidRPr="004E104A" w:rsidRDefault="004E104A" w:rsidP="007F1A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Сучасні методи оцінювання ризиків</w:t>
      </w:r>
    </w:p>
    <w:p w14:paraId="4277B2BB" w14:textId="081E7B14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sz w:val="28"/>
          <w:szCs w:val="28"/>
          <w:lang w:val="uk-UA"/>
        </w:rPr>
        <w:t>Аналіз та вимірювання ризиків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суттєво еволюціонували завдяки новим технологіям і накопиченню даних. Нижче розглянуто сучасні підходи, які банки використовують для більш точного оцінювання своїх ризикових позицій</w:t>
      </w:r>
      <w:r w:rsidR="00CF76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107D6A" w14:textId="2F192AC5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Big</w:t>
      </w:r>
      <w:proofErr w:type="spellEnd"/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Data</w:t>
      </w:r>
      <w:proofErr w:type="spellEnd"/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аналітика даних.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Великі масиви даних (транзакції, поведінкові дані клієнтів, макроекономічні показники) дозволяють банкам отримати глибше розуміння ризиків. За допомогою технологій </w:t>
      </w:r>
      <w:proofErr w:type="spellStart"/>
      <w:r w:rsidRPr="00CF76E6">
        <w:rPr>
          <w:rFonts w:ascii="Times New Roman" w:hAnsi="Times New Roman" w:cs="Times New Roman"/>
          <w:sz w:val="28"/>
          <w:szCs w:val="28"/>
          <w:lang w:val="uk-UA"/>
        </w:rPr>
        <w:t>Big</w:t>
      </w:r>
      <w:proofErr w:type="spellEnd"/>
      <w:r w:rsidRPr="00CF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6E6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можна виявляти приховані закономірності та ранні ознаки проблем. Приміром, аналіз мільйонів транзакцій у реальному часі допомагає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виявляти підозрілі операції та шахрайство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ще до того, як вони призведуть до втрат. Об’єднуючи внутрішні дані банку з зовнішніми (ринковими, соціально-економічними), фінансові установи будують більш прогнозні моделі ризику. Це підвищує точність оцінки, дозволяючи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проактивно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управляти портфелями (напр., своєчасно знижувати позиції в сегментах, де зростає ризик).</w:t>
      </w:r>
    </w:p>
    <w:p w14:paraId="64A7F7F0" w14:textId="7BCACE50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Машинне навчання у кредитному </w:t>
      </w:r>
      <w:proofErr w:type="spellStart"/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скорингу</w:t>
      </w:r>
      <w:proofErr w:type="spellEnd"/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Штучний інтелект (AI) та машинне навчання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наразі активно впроваджуються для оцінки кредитоспроможності позичальників. Традиційні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скорингові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моделі враховували обмежений набір фінансових показників, тоді як сучасні ML-алгоритми можуть опрацювати сотні змінних – від платіжної історії до поведінки в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соцмережах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Це дає можливість точніше передбачати ймовірність дефолту. За даними експертів, провідні банки вже використовують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 xml:space="preserve">штучний інтелект для аналізу великих обсягів клієнтських даних, виявлення </w:t>
      </w:r>
      <w:proofErr w:type="spellStart"/>
      <w:r w:rsidRPr="00CF76E6">
        <w:rPr>
          <w:rFonts w:ascii="Times New Roman" w:hAnsi="Times New Roman" w:cs="Times New Roman"/>
          <w:sz w:val="28"/>
          <w:szCs w:val="28"/>
          <w:lang w:val="uk-UA"/>
        </w:rPr>
        <w:t>патернів</w:t>
      </w:r>
      <w:proofErr w:type="spellEnd"/>
      <w:r w:rsidRPr="00CF76E6">
        <w:rPr>
          <w:rFonts w:ascii="Times New Roman" w:hAnsi="Times New Roman" w:cs="Times New Roman"/>
          <w:sz w:val="28"/>
          <w:szCs w:val="28"/>
          <w:lang w:val="uk-UA"/>
        </w:rPr>
        <w:t xml:space="preserve"> та більш точного оцінювання ризику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Практичний приклад – </w:t>
      </w:r>
      <w:proofErr w:type="spellStart"/>
      <w:r w:rsidRPr="00CF76E6">
        <w:rPr>
          <w:rFonts w:ascii="Times New Roman" w:hAnsi="Times New Roman" w:cs="Times New Roman"/>
          <w:sz w:val="28"/>
          <w:szCs w:val="28"/>
          <w:lang w:val="uk-UA"/>
        </w:rPr>
        <w:t>Banco</w:t>
      </w:r>
      <w:proofErr w:type="spellEnd"/>
      <w:r w:rsidRPr="00CF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76E6">
        <w:rPr>
          <w:rFonts w:ascii="Times New Roman" w:hAnsi="Times New Roman" w:cs="Times New Roman"/>
          <w:sz w:val="28"/>
          <w:szCs w:val="28"/>
          <w:lang w:val="uk-UA"/>
        </w:rPr>
        <w:t>Santander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: банк запровадив AI-системи для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прогнозування проблемних кредитів на ранній стадії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що дозволяє завчасно реагувати (наприклад, коригувати ліміти або умови позики). Деякі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фінустанови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(Standard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Chartered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>, S-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Bank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Фінляндії) перейшли до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автоматизованого ухвалення кредитних рішень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ML-моделей, що прискорює процес і мінімізує людський фактор. В результаті застосування AI в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скорингу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підвищує фінансову інклюзію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банки можуть оцінити позичальників без кредитної історії, використовуючи альтернативні дані, і запропонувати їм продукти. Водночас необхідно належним чином управляти ризиком моделі: забезпечувати прозорість алгоритмів, перевіряти їх на упередженість та оновлювати при зміні економічних умов.</w:t>
      </w:r>
    </w:p>
    <w:p w14:paraId="1ADFA761" w14:textId="47A2836C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Сучасні підходи до </w:t>
      </w:r>
      <w:proofErr w:type="spellStart"/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stress-testing</w:t>
      </w:r>
      <w:proofErr w:type="spellEnd"/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Стрес-тестування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перетворилося на невід’ємний елемент оцінки ризиків банку. Після кризи 2008 року провідні центробанки запровадили регулярні стрес-тести, що перевіряють достатність капіталу банків за несприятливих сценаріїв (рецесія, обвал ринку нерухомості тощо). Сьогодні ці методики удосконалюються: банки використовують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динамічні стрес-тести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моделюючи еволюцію балансу в часі, та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часті стрес-тести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для оперативного моніторингу.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 xml:space="preserve">Новітня тенденція – включення кліматичних сценаріїв в </w:t>
      </w:r>
      <w:proofErr w:type="spellStart"/>
      <w:r w:rsidRPr="00CF76E6">
        <w:rPr>
          <w:rFonts w:ascii="Times New Roman" w:hAnsi="Times New Roman" w:cs="Times New Roman"/>
          <w:sz w:val="28"/>
          <w:szCs w:val="28"/>
          <w:lang w:val="uk-UA"/>
        </w:rPr>
        <w:t>stress-testing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Регулятори хочуть знати, як портфель банку витримає, скажімо, сценарій різкого підвищення цін на вуглецеві викиди або серію природних катаклізмів. Наприклад, ФРС США у 2023 році провела пілотний кліматичний сценарій для найбільших банків, де змоделювала наслідки урагану на Східному узбережжі. У 2022 році Банк Англії опублікував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перші результати кліматичного стрес-тесту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оцінивши потенційні збитки банків за тривалих кліматичних змін. Такі аналізи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допомагають виявити вразливі місця і заздалегідь скоригувати стратегію (наприклад, зменшити кредитування галузей з високим вуглецевим слідом чи збільшити резерви). Окрім кліматичних, розвиваються й інші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нестандартні стрес-тести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F76E6">
        <w:rPr>
          <w:rFonts w:ascii="Times New Roman" w:hAnsi="Times New Roman" w:cs="Times New Roman"/>
          <w:sz w:val="28"/>
          <w:szCs w:val="28"/>
          <w:lang w:val="uk-UA"/>
        </w:rPr>
        <w:t>кіберстрес</w:t>
      </w:r>
      <w:proofErr w:type="spellEnd"/>
      <w:r w:rsidRPr="00CF76E6">
        <w:rPr>
          <w:rFonts w:ascii="Times New Roman" w:hAnsi="Times New Roman" w:cs="Times New Roman"/>
          <w:sz w:val="28"/>
          <w:szCs w:val="28"/>
          <w:lang w:val="uk-UA"/>
        </w:rPr>
        <w:t>-тести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(моделювання широкомасштабної кібератаки), стрес-тести ліквідності з урахуванням масового відтоку депозитів (актуально після подій 2023 року) тощо. Сучасні технології дозволяють проганяти тисячі сценаріїв (використовуючи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монте-карло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симуляції) і отримувати розподіл можливих збитків, а не лише окремі точки. Це дає більш повну картину </w:t>
      </w:r>
      <w:proofErr w:type="spellStart"/>
      <w:r w:rsidRPr="00CF76E6">
        <w:rPr>
          <w:rFonts w:ascii="Times New Roman" w:hAnsi="Times New Roman" w:cs="Times New Roman"/>
          <w:sz w:val="28"/>
          <w:szCs w:val="28"/>
          <w:lang w:val="uk-UA"/>
        </w:rPr>
        <w:t>tail-risk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малоймовірних, але дуже руйнівних подій.</w:t>
      </w:r>
    </w:p>
    <w:p w14:paraId="1124EB04" w14:textId="77777777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6E6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Моніторинг ризиків у режимі реального часу.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Завдяки цифровим технологіям банки переходять від періодичних оцінок ризику (раз на квартал) до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безперервного моніторингу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Автоматизовані інформаційні панелі збирають ключові метрики ризику щоденно чи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щогодинно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VaR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ліквідність, показники ринкової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волатильності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). Це дозволяє менеджменту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миттєво реагувати на стресові події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наприклад, якщо індикатори ліквідності падають нижче порогових значень, негайно скликати ризик-комітет і вжити заходів (продати ліквідні активи, залучити фінансування). Для цього банки впроваджують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єдині сховища даних про ризики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та аналітичні модулі, часто побудовані на хмарних технологіях, що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агрегують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з усього банку (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трейдингу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кредитного підрозділу, ІТ-безпеки тощо) в реальному часі. Такий підхід підсилює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проактивність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ризик-менеджменту: замість реагувати постфактум на збитки, банк намагається передбачити та запобігти їм до того, як вони стануть критичними.</w:t>
      </w:r>
    </w:p>
    <w:p w14:paraId="5058A376" w14:textId="77777777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Отже, поєднання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великого масиву даних, штучного інтелекту та удосконалених стрес-тестів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отримати більш повну і точну картину ризиків. Сучасний банк озброєний інструментами, що дають змогу не лише швидко виявити назріваючі проблеми, а й кількісно оцінити найгірші сценарії. Це надзвичайно важливо для прийняття обґрунтованих управлінських рішень у непевному фінансовому середовищі.</w:t>
      </w:r>
    </w:p>
    <w:p w14:paraId="7383C9BE" w14:textId="77777777" w:rsidR="004E104A" w:rsidRPr="004E104A" w:rsidRDefault="004E104A" w:rsidP="007F1A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Інструменти мінімізації ризиків та інноваційні рішення</w:t>
      </w:r>
    </w:p>
    <w:p w14:paraId="21DF8319" w14:textId="77777777" w:rsidR="004E104A" w:rsidRPr="004E104A" w:rsidRDefault="004E104A" w:rsidP="00CF76E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В арсеналі банків є численні методи мінімізації та хеджування ризиків: від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диверсифікації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портфеля і встановлення лімітів до використання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страхування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F76E6">
        <w:rPr>
          <w:rFonts w:ascii="Times New Roman" w:hAnsi="Times New Roman" w:cs="Times New Roman"/>
          <w:sz w:val="28"/>
          <w:szCs w:val="28"/>
          <w:lang w:val="uk-UA"/>
        </w:rPr>
        <w:t>деривативів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свопів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для хеджування процентного ризику чи кредитних деривативів для перенесення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кредитного ризику). Сьогодні ці традиційні інструменти доповнюються новітніми технологічними рішеннями, що підсилюють ефективність ризик-менеджменту:</w:t>
      </w:r>
    </w:p>
    <w:p w14:paraId="3DA65D4E" w14:textId="2DE2F807" w:rsidR="004E104A" w:rsidRPr="004E104A" w:rsidRDefault="004E104A" w:rsidP="000A14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Смарт-контракти</w:t>
      </w:r>
      <w:r w:rsidR="000A1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– це програми в середовищі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блокчейну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які автоматично виконують умови договору при настанні визначених подій. У контексті управління ризиками, смарт-контракти можуть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автоматизувати контроль за дотриманням умов і миттєво вживати захисні дії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Приміром, для ринкового ризику: смарт-контракт для деривативу може бути запрограмований автоматично закривати позицію або вимагати додаткове забезпечення, якщо ціна базового активу впаде до певного рівня. Це мінімізує людський фактор і швидко обмежує втрати (те, що у традиційному процесі могло б зайняти години і залежало б від уваги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трейдера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Досвід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DeFi</w:t>
      </w:r>
      <w:proofErr w:type="spellEnd"/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 (децентралізованих фінансів)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демонструє дієвість такого підходу: на децентралізованих платформах позик смарт-контракти цілодобово слідкують за забезпеченням кредитів і ліквідують позиції, як тільки застави стає недостатньо, тим самим захищаючи протокол від збитків. Банки вивчають ці механізми, щоб запозичити їх для традиційних ринків.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Приклад застосування: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біржі та клірингові центри можуть перейти на смарт-контракти для виконання угод з цінними паперами – тоді одночасно з передачею цінних паперів буде автоматично переведена оплата, що виключає ризик розрахунку. Смарт-контракт може також автоматично нарахувати неустойку чи відсотки, якщо контрагент затримує платіж,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без необхідності ручного втручання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Отже,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contracts</w:t>
      </w:r>
      <w:proofErr w:type="spellEnd"/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 здатні знизити операційні ризики і прискорити процеси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>, хоча потребують пильного нагляду (помилка в коді сама по собі є новим джерелом ризику). Зауважимо, що регулятори поки обережно ставляться до повної автоматизації фінансових контрактів, але поступово виробляються стандарти їх безпечного використання.</w:t>
      </w:r>
    </w:p>
    <w:p w14:paraId="32565FEA" w14:textId="6468CE7D" w:rsidR="004E104A" w:rsidRPr="004E104A" w:rsidRDefault="004E104A" w:rsidP="000A14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Open</w:t>
      </w:r>
      <w:proofErr w:type="spellEnd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Banking</w:t>
      </w:r>
      <w:proofErr w:type="spellEnd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(відкритий </w:t>
      </w:r>
      <w:proofErr w:type="spellStart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банкінг</w:t>
      </w:r>
      <w:proofErr w:type="spellEnd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="00D65FE3"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Ініціативи відкритого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банкінгу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(як-от PSD2 в ЄС) зобов’язують банки ділитися фінансовими даними клієнтів із сторонніми фінтех-компаніями через API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за згодою клієнта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Хоч на перший погляд це створює більше ризиків (наприклад, ризик витоку даних при передачі третім сторонам),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реалізований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banking</w:t>
      </w:r>
      <w:proofErr w:type="spellEnd"/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 підвищує загальну стійкість та прозорість фінансової екосистеми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По-перше, відкритий обмін даними стимулює банки вдосконалювати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кібербезпеку</w:t>
      </w:r>
      <w:proofErr w:type="spellEnd"/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 та протоколи захисту інформації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Нові стандарти API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передбачають сильне шифрування та багато-факторну автентифікацію, що зменшує ризик несанкціонованого доступу. Фактично,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banking</w:t>
      </w:r>
      <w:proofErr w:type="spellEnd"/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 примушує банки посилити відповідність найкращим практикам безпеки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тим самим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знижуючи ризик витоку даних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По-друге, завдяки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banking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банки отримують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ширший доступ до даних про клієнтів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зокрема про їхні рахунки в інших установах. Це дає повнішу картину фінансового становища позичальника і дозволяє точніше оцінити його кредитний ризик. Наприклад, якщо малий бізнес дає згоду на передачу даних з усіх своїх банків, кредитор побачить сумарні обороти і зможе виявити ризикові сигнали (спад виручки, збільшення позик в іншому банку) раніше. Відповідно, банк може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завчасно відкоригувати ліміти чи вимоги до забезпечення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запобігаючи дефолту. По-третє,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banking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відкрив простір для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інноваційних сервісів ризик-менеджменту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>. Фінтех-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стартапи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 банкам аналітичні платформи, що в режимі реального часу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агрегують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дані різних банків та попереджають про аномалії (корисно для відстеження операційного та шахрайського ризику). Самі ж споживачі, отримавши доступ до своїх даних, можуть краще керувати фінансами, знижуючи ймовірність прострочень (наприклад, за допомогою мобільних додатків з управління бюджетом, які через API знають про всі зобов’язання клієнта і нагадують про платежі). Таким чином,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 xml:space="preserve">відкритий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банкінг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при належному управлінні ризиками сприяє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більшій прозорості, конкуренції та стійкості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 системи. Звісно, це вимагає суворого дотримання стандартів безпеки та конфіденційності: банки впроваджують програми управління ризиками третьої сторони, щоб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моніторити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>, як фінтех-компанії використовують надані дані, і запобігати зловживанням.</w:t>
      </w:r>
    </w:p>
    <w:p w14:paraId="36AA6109" w14:textId="0F26FB40" w:rsidR="004E104A" w:rsidRPr="004E104A" w:rsidRDefault="004E104A" w:rsidP="000A14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Інноваційні рішення для </w:t>
      </w:r>
      <w:proofErr w:type="spellStart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комплаєнсу</w:t>
      </w:r>
      <w:proofErr w:type="spellEnd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RegTech</w:t>
      </w:r>
      <w:proofErr w:type="spellEnd"/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регуляторних вимог спонукало появу окремого класу технологій –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RegTech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Regulatory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) для автоматизації дотримання нормативів. Наприклад, системи моніторингу транзакцій у реальному часі з алгоритмами AI дозволяють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миттєво виявляти підозрілу активність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згідно з вимогами фінансового моніторингу і заморожувати кошти до з’ясування обставин. Це мінімізує ризик штрафів і репутаційних втрат за недотримання правил протидії відмиванню коштів. Такі рішення беруть на себе рутинну роботу перевірки клієнтів (KYC),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санкційних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списків, звітності для регулятора – знижуючи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операційний ризик людських помилок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і одночасно роблячи систему більш надійною та прозорою. Інший напрям – </w:t>
      </w:r>
      <w:proofErr w:type="spellStart"/>
      <w:r w:rsidRPr="000A142E">
        <w:rPr>
          <w:rFonts w:ascii="Times New Roman" w:hAnsi="Times New Roman" w:cs="Times New Roman"/>
          <w:sz w:val="28"/>
          <w:szCs w:val="28"/>
          <w:lang w:val="uk-UA"/>
        </w:rPr>
        <w:t>SupTech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Supervisory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Tech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), де й самі регулятори використовують інновації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(аналітику даних, AI) для нагляду за банками. В Україні, до речі, НБУ впроваджує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СупТех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РегТех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ініціативи, що в перспективі спростить банкам виконання вимог і дозволить регулятору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ранніше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виявляти ознаки дестабілізації окремих установ.</w:t>
      </w:r>
    </w:p>
    <w:p w14:paraId="4159659E" w14:textId="05BF2DA2" w:rsidR="004E104A" w:rsidRPr="004E104A" w:rsidRDefault="004E104A" w:rsidP="000A142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В цілому,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інноваційні інструменти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не замінюють класичні методи, але </w:t>
      </w:r>
      <w:r w:rsidRPr="000A142E">
        <w:rPr>
          <w:rFonts w:ascii="Times New Roman" w:hAnsi="Times New Roman" w:cs="Times New Roman"/>
          <w:sz w:val="28"/>
          <w:szCs w:val="28"/>
          <w:lang w:val="uk-UA"/>
        </w:rPr>
        <w:t>значно підсилюють можливості банків у передбаченні та стримуванні ризиків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>. Водночас банки мусять пам’ятати, що нові технології приносять і нові виклики</w:t>
      </w:r>
      <w:r w:rsidR="000A14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9C45F4" w14:textId="77777777" w:rsidR="004E104A" w:rsidRPr="004E104A" w:rsidRDefault="004E104A" w:rsidP="007F1A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 вимоги регуляторів</w:t>
      </w:r>
    </w:p>
    <w:p w14:paraId="0F34562B" w14:textId="77777777" w:rsidR="004E104A" w:rsidRPr="004E104A" w:rsidRDefault="004E104A" w:rsidP="00D65F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t>Регуляторне середовище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у сфері банківських ризиків динамічно розвивається після фінансових криз, під впливом нових викликів (як-то кліматичних) та технологічних змін. Основні актуальні тренди та вимоги такі:</w:t>
      </w:r>
    </w:p>
    <w:p w14:paraId="65DA6FC2" w14:textId="6080ABAE" w:rsidR="004E104A" w:rsidRPr="004E104A" w:rsidRDefault="004E104A" w:rsidP="00D65F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Базельські стандарти (Базель III та IV).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Після кризи 2008 р. Базельський комітет з банківського нагляду запровадив Базель III – пакет правил щодо капіталу, ліквідності та важелів, аби посилити стійкість банків. У 2017 р. було погоджено фінальне доопрацювання цих реформ, неофіційно відоме як </w:t>
      </w:r>
      <w:r w:rsidRPr="00D65FE3">
        <w:rPr>
          <w:rFonts w:ascii="Times New Roman" w:hAnsi="Times New Roman" w:cs="Times New Roman"/>
          <w:sz w:val="28"/>
          <w:szCs w:val="28"/>
          <w:lang w:val="uk-UA"/>
        </w:rPr>
        <w:t>“Базель IV”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>, імплементація якого почнеться з 2025 року. Базель IV привносить кілька важливих змін у розрахунок ризиків і капіталу банків:</w:t>
      </w:r>
    </w:p>
    <w:p w14:paraId="07FE51E7" w14:textId="43471A5D" w:rsidR="004E104A" w:rsidRPr="00D65FE3" w:rsidRDefault="004E104A" w:rsidP="00D65FE3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t>По-перше, обмежено використання внутрішніх моделей банків для оцінки кредитного ризику великих корпоративних позичальників. Банки більше не зможуть вільно застосовувати власні моделі для великих корпорацій (з виручкою понад €500 млн) – це зроблено, щоб вирівняти підхід і унеможливити занадто оптимістичні оцінки ризику великих експозицій.</w:t>
      </w:r>
    </w:p>
    <w:p w14:paraId="4298B806" w14:textId="19CB27B2" w:rsidR="004E104A" w:rsidRPr="00D65FE3" w:rsidRDefault="004E104A" w:rsidP="00D65FE3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t>По-друге, запроваджено “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output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floor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” – мінімальне обмеження на вигоду від внутрішніх моделей. Якщо банк раніше розраховував свої ризик-зважені активи по внутрішніх моделях значно нижче, ніж за стандартним регуляторним підходом, тепер вводиться нижня планка: оцінка ризику не може бути меншою ніж 72,5% від стандартного підходу. Іншими словами, внутрішні моделі не повинні давати занадто великої економії капіталу.</w:t>
      </w:r>
    </w:p>
    <w:p w14:paraId="77D8A55A" w14:textId="77777777" w:rsidR="004E104A" w:rsidRPr="00D65FE3" w:rsidRDefault="004E104A" w:rsidP="00D65FE3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t>Додатково уточнено методики для розрахунку операційного ризику (новий єдиний підхід замість безлічі варіантів) та ринкового ризику (реформа FRTB – фундаментальний перегляд торговельної книги).</w:t>
      </w:r>
    </w:p>
    <w:p w14:paraId="4D4C7278" w14:textId="554F0FCA" w:rsidR="004E104A" w:rsidRPr="00D65FE3" w:rsidRDefault="004E104A" w:rsidP="00D65FE3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Загальна мета Базеля IV – підвищити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порівнюваність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і надійність капітальних вимог, не стільки збільшуючи обсяг капіталу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глобально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, скільки вирівнюючи правила гри між банками різних юрисдикцій. Для багатьох європейських банків нові вимоги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означатимуть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 ризик-зважених активів і, відповідно, потребу наростити капітал, особливо для тих, хто активно використовував власні моделі. Очікується, що це може дещо підвищити вартість кредитування для позичальників в ЄС (~на 0,25–0,5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. за оцінками досліджень). Впровадження відбудеться поступово до кінця десятиліття, щоб пом’якшити вплив на банківське кредитування.</w:t>
      </w:r>
    </w:p>
    <w:p w14:paraId="08D03A57" w14:textId="77777777" w:rsidR="004E104A" w:rsidRPr="004E104A" w:rsidRDefault="004E104A" w:rsidP="00D65F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t>Нові вимоги ЄС до стійкості банківської системи.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Євросоюз,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імплементуючи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Базельські стандарти, паралельно запроваджує власні ініціативи для підвищення стійкості банків:</w:t>
      </w:r>
    </w:p>
    <w:p w14:paraId="375ADFCB" w14:textId="77777777" w:rsidR="004E104A" w:rsidRPr="00D65FE3" w:rsidRDefault="004E104A" w:rsidP="00D65FE3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По-перше, триває робота над CRR3/CRD6 – новими редакціями Регламенту та Директиви про капітальні вимоги, які впроваджують елементи Базеля IV в ЄС з 2025 року. Вони включають вищезгаданий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output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floor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, жорсткіші вимоги до розрахунку ризиків, а також заходи для малих та середніх банків (пропорційне регулювання).</w:t>
      </w:r>
    </w:p>
    <w:p w14:paraId="34482D76" w14:textId="6ACA2304" w:rsidR="004E104A" w:rsidRPr="00D65FE3" w:rsidRDefault="004E104A" w:rsidP="00D65FE3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По-друге, ЄС приділяє дуже велику увагу операційній та ІТ-стійкості фінансового сектора. Зокрема, ухвалено Цифровий акт про операційну стійкість (DORA), який набуде чинності з січня 2025 р. Він зобов’язує усі фінансові установи в ЄС впровадити комплексну систему управління ІТ-ризиками та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кіберризиками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, проводити регулярні тестування на стійкість (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penetration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tests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, сценарії відмов систем) і контролювати ризики від третіх сторін. DORA встановлює високі вимоги до безперервності бізнесу, планів реагування на інциденти та резервних систем. Фактично, кожен банк повинен мати план дій на випадок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кіберкризи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і демонструвати регулятору здатність швидко відновити критичні послуги. Також DORA вводить нагляд за постачальниками ІТ-послуг (хмарні сервіси,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процесінгові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центри) – найбільших із них ЄС визначатиме як “критичних” і буде здійснювати прямий нагляд, аби зменшити системний ризик від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аутсорсингу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ІТ.</w:t>
      </w:r>
    </w:p>
    <w:p w14:paraId="5004E2FB" w14:textId="67AE31C8" w:rsidR="004E104A" w:rsidRPr="00D65FE3" w:rsidRDefault="004E104A" w:rsidP="00D65FE3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t>По-третє, ESG-регулювання: Європейська банківська влада (EBA) видала рекомендації щодо інтеграції ESG-факторів у управління ризиками банків. Вимоги поступово стають обов’язковими: банки у ЄС мають розкривати показники сталого розвитку (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Taxonomy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lastRenderedPageBreak/>
        <w:t>Regulation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, SFDR), оцінювати кліматичні ризики в ICAAP (процесі оцінки адекватності капіталу) і готуватися до кліматичних стрес-тестів. Планується включити кліматичні буфери чи підвищені ваги ризику для “коричневих” активів, якщо банки не скоротять концентрацію в високо вуглецевих галузях. Усе це – частина нових вимог до стійкості банківської системи в умовах переходу до зеленої економіки.</w:t>
      </w:r>
    </w:p>
    <w:p w14:paraId="66848C3A" w14:textId="77777777" w:rsidR="004E104A" w:rsidRPr="00D65FE3" w:rsidRDefault="004E104A" w:rsidP="00D65FE3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відкритого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банкінгу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та даних. PSD2 у ЄС вже кілька років як діє, але на підході PSD3/PSR (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Payment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Services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Regulation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), які ще більше розширять сферу відкритого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банкінгу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та посилять вимоги кібербезпеки. Крім того, прийнято Регламент про управління даними (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Governance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Act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), що впливає і на банки у частині роботи з персональними даними клієнтів.</w:t>
      </w:r>
    </w:p>
    <w:p w14:paraId="06046D22" w14:textId="72154B76" w:rsidR="004E104A" w:rsidRPr="004E104A" w:rsidRDefault="004E104A" w:rsidP="00D65F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>Український центробанк також активно оновлює регуляції у сфері ризик-менеджменту, часто гармонізуючи їх з європейськими нормами:</w:t>
      </w:r>
    </w:p>
    <w:p w14:paraId="72DB5F94" w14:textId="77777777" w:rsidR="004E104A" w:rsidRPr="00D65FE3" w:rsidRDefault="004E104A" w:rsidP="00D65FE3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У 2018 році НБУ запровадив Положення про організацію системи управління ризиками в банках</w:t>
      </w:r>
      <w:r w:rsidRPr="00D65FE3">
        <w:rPr>
          <w:rFonts w:ascii="Times New Roman" w:hAnsi="Times New Roman" w:cs="Times New Roman"/>
          <w:sz w:val="28"/>
          <w:szCs w:val="28"/>
          <w:lang w:val="uk-UA"/>
        </w:rPr>
        <w:t>, що зобов’язує всі банки мати розгорнуту систему ризик-менеджменту, ризик-апетит, політики і процедури за кожним видом ризику, а також незалежний підрозділ з управління ризиками на чолі з CRO (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Chief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Officer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). Це положення (постанова Правління НБУ №64 від 11.06.2018) встановило мінімальні стандарти: наявність комітету з ризиків у наглядовій раді, регулярну оцінку внутрішнього капіталу під ризики (ICAAP) і внутрішньої ліквідності (ILAAP) тощо.</w:t>
      </w:r>
    </w:p>
    <w:p w14:paraId="64EEB3BD" w14:textId="091B9ADA" w:rsidR="004E104A" w:rsidRPr="00D65FE3" w:rsidRDefault="004E104A" w:rsidP="00D65FE3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Останні зміни 2023 року.</w:t>
      </w:r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НБУ у квітні 2023 актуалізував згадане Положення, врахувавши нові виклики. Зміни (постанова Правління НБУ №40 від 30.03.2023) передбачають: виокремлення в структурі операційного ризику ІТ-ризиків та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кіберризику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(з чіткими дефініціями цих понять); уточнення вимог до управління інформаційною безпекою згідно з законом про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кібербезпеку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; удосконалення вимог до ринкового ризику – зокрема, впровадження концепції торгового портфеля (“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трейдинг-дески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”) та нових критеріїв розмежування торгової і банківської книги). Також банки зобов’язані розкривати в управлінській звітності інформацію про судові провадження, що є додатковим заходом для обліку юридичного та репутаційного ризику. НБУ дав банкам час до жовтня 2023 для </w:t>
      </w:r>
      <w:r w:rsidRPr="00D65FE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внесення змін у внутрішні документи з управління ризиками відповідно до нових вимог. Паралельно регулятор встановив графік впровадження нового порядку розрахунку ринкового ризику (імовірно, наближеного до стандартів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Basel’s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FRTB): тестові розрахунки наприкінці 2023, повноцінне запровадження з 2024 року.</w:t>
      </w:r>
    </w:p>
    <w:p w14:paraId="347246FB" w14:textId="77777777" w:rsidR="004E104A" w:rsidRPr="00D65FE3" w:rsidRDefault="004E104A" w:rsidP="00D65FE3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Нагляд на основі ризиків.</w:t>
      </w:r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Важливо, що НБУ перейшов до ризик-орієнтованого нагляду, що відповідає принципам Basel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Core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. Це означає, що інспекції та дистанційний нагляд фокусуються на найбільш ризикових сферах діяльності банку. Реалізована система SREP (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Supervisory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Review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Evaluation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>) – комплексна оцінка профілю ризиків банку, якості ризик-менеджменту і достатності капіталу для покриття ризиків. За підсумками SREP НБУ може встановлювати додаткові буфери капіталу для конкретного банку або вимагати зменшити ризикові активи.</w:t>
      </w:r>
    </w:p>
    <w:p w14:paraId="1F19E58D" w14:textId="77777777" w:rsidR="004E104A" w:rsidRPr="00D65FE3" w:rsidRDefault="004E104A" w:rsidP="00D65FE3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Вимоги до капіталу та ліквідності.</w:t>
      </w:r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Україна вже запровадила основні нормативи Базель III: коефіцієнт покриття ліквідності LCR (з 2018 р.), норматив чистого стабільного фінансування NSFR (з 2021 р.),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контрциклічний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буфер (введено, але поки 0%), буфер системної важливості для найбільших банків. Мінімальні вимоги до капіталу приведені до європейських (10% адекватність основного капіталу, 7% – Tier1). У 2020-21 рр. НБУ тимчасово послаблював вимоги через COVID-19, дозволяючи використовувати буфери, але зараз курс на їх відновлення.</w:t>
      </w:r>
    </w:p>
    <w:p w14:paraId="3F8807F2" w14:textId="77777777" w:rsidR="004E104A" w:rsidRPr="00D65FE3" w:rsidRDefault="004E104A" w:rsidP="00D65FE3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Окремі ризики.</w:t>
      </w:r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НБУ вимагає від банків наявності політик управління окремими специфічними ризиками, як-от ризик процентної ставки в банківській книзі (IRRBB) – він став актуальним після різких змін ставок у 2022-23 рр. Банки мають оцінювати, як зміна процентних ставок вплине на їх чистий процентний дохід та економічну вартість капіталу, і тримати цей ризик у встановлених межах. Так само приділяється увага концентраціям кредитного ризику – існують ліміти на великі кредити та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інсайдерські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кредити, щоб обмежити концентраційний ризик.</w:t>
      </w:r>
    </w:p>
    <w:p w14:paraId="60A5B1D1" w14:textId="03104656" w:rsidR="004E104A" w:rsidRPr="00D65FE3" w:rsidRDefault="004E104A" w:rsidP="00D65FE3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FE3">
        <w:rPr>
          <w:rFonts w:ascii="Times New Roman" w:hAnsi="Times New Roman" w:cs="Times New Roman"/>
          <w:i/>
          <w:iCs/>
          <w:sz w:val="28"/>
          <w:szCs w:val="28"/>
          <w:lang w:val="uk-UA"/>
        </w:rPr>
        <w:t>Адаптація до воєнних ризиків.</w:t>
      </w:r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Після початку війни в 2022 р. НБУ запровадив мораторій на деякі вимоги (стрес-тестування банків було відкладене), однак водночас банки мусили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впроваджувати плани реагування на екстремальні операційні ризики (резервні копії даних, </w:t>
      </w:r>
      <w:proofErr w:type="spellStart"/>
      <w:r w:rsidRPr="00D65FE3">
        <w:rPr>
          <w:rFonts w:ascii="Times New Roman" w:hAnsi="Times New Roman" w:cs="Times New Roman"/>
          <w:sz w:val="28"/>
          <w:szCs w:val="28"/>
          <w:lang w:val="uk-UA"/>
        </w:rPr>
        <w:t>релокація</w:t>
      </w:r>
      <w:proofErr w:type="spellEnd"/>
      <w:r w:rsidRPr="00D65FE3">
        <w:rPr>
          <w:rFonts w:ascii="Times New Roman" w:hAnsi="Times New Roman" w:cs="Times New Roman"/>
          <w:sz w:val="28"/>
          <w:szCs w:val="28"/>
          <w:lang w:val="uk-UA"/>
        </w:rPr>
        <w:t xml:space="preserve"> ІТ-систем, відновлення роботи відділень). Вимога </w:t>
      </w:r>
      <w:r w:rsidRPr="00D65FE3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мати план безперервності бізнесу стала не просто формальністю, а реально перевіряється на практиці. Регулятор у Звітах про фінансову стабільність відзначає, що українські банки змогли зберегти операційну стійкість та продовжити роботу навіть в умовах війни, значною мірою завдяки налагодженим процедурам управління ризиками та запасам капіталу.</w:t>
      </w:r>
    </w:p>
    <w:p w14:paraId="4FA39623" w14:textId="77777777" w:rsidR="004E104A" w:rsidRPr="004E104A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регулятори сьогодні висувають до банків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жорсткі вимоги в сфері ризик-менеджменту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Нові правила (Базель IV, європейські директиви, вимоги НБУ) охоплюють як фінансові ризики (капітал під кредитний/ринковий ризик), так і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нефінансові аспекти стійкості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кібербезпеку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оперативну надійність, стійкість до кліматичних змін. Банки повинні постійно вдосконалювати свої системи, аби відповідати цим стандартам. Невиконання регуляторних вимог загрожує не лише штрафами, але й підвищеним ризиком для самого банку – адже вимоги сформовані на основі уроків минулих криз. У підсумку,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регуляторний тиск стимулює банки бути далекогляднішими та більш дисциплінованими у менеджменті ризиків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>, що зміцнює всю фінансову систему.</w:t>
      </w:r>
    </w:p>
    <w:p w14:paraId="51C3962E" w14:textId="77777777" w:rsidR="004E104A" w:rsidRPr="004E104A" w:rsidRDefault="004E104A" w:rsidP="007F1A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Реальні приклади з банківської практики останніх років</w:t>
      </w:r>
    </w:p>
    <w:p w14:paraId="576537E7" w14:textId="77777777" w:rsidR="004E104A" w:rsidRPr="004E104A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Щоб краще зрозуміти наведені концепції, розглянемо кілька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показових прикладів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із нещодавньої практики банків, які ілюструють важливість належного управління ризиками та наслідки прорахунків:</w:t>
      </w:r>
    </w:p>
    <w:p w14:paraId="611E86E9" w14:textId="2266FA01" w:rsidR="004E104A" w:rsidRPr="004E104A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Крах </w:t>
      </w:r>
      <w:proofErr w:type="spellStart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>Silicon</w:t>
      </w:r>
      <w:proofErr w:type="spellEnd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>Valley</w:t>
      </w:r>
      <w:proofErr w:type="spellEnd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>Bank</w:t>
      </w:r>
      <w:proofErr w:type="spellEnd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(США, 2023)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приклад провалу в управлінні процентним та ліквідним ризиком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SVB був середнього розміру банком, активним у технологічному секторі. У період низьких ставок він інвестував значні кошти в довгострокові облігації. Коли у 2022–2023 рр. ставки ФРС різко зросли, вартість цих облігацій впала, що спричинило величезні нереалізовані збитки у портфелі SVB. Одночасно велика частка депозитів банку була незастрахованою (понад 90%), і схвильовані новинами клієнти почали масово вилучати кошти. Завдяки соціальним мережам паніка поширилася блискавично – за лічені дні стався класичний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bank</w:t>
      </w:r>
      <w:proofErr w:type="spellEnd"/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run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і 10 березня 2023 банк збанкрутував. Цей випадок показав, наскільки важливо проводити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стрес-тести ліквідності та процентного ризику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і диверсифікувати депозитну базу. Уроки SVB вже враховуються: регулятори США планують посилити нагляд за середніми банками, вимагаючи від них кращого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процентним ризиком в банківській книзі (IRRBB) та підтримання достатньої високоліквідної резервної бази.</w:t>
      </w:r>
    </w:p>
    <w:p w14:paraId="6B2A8B5C" w14:textId="2D59BE7F" w:rsidR="004E104A" w:rsidRPr="004E104A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>Crédit</w:t>
      </w:r>
      <w:proofErr w:type="spellEnd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>Suisse</w:t>
      </w:r>
      <w:proofErr w:type="spellEnd"/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(Швейцарія, 2021–2023)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приклад накопичення ризиків через поганий корпоративний контроль і репутаційні втрати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Один з найбільших банків Швейцарії зазнав серії скандалів і збитків: у 2021 році банк втратив понад $5 млрд через крах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хедж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-фонду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Archegos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(CS не встежив за концентрацією експортної позики) та заморозив ~$10 млрд фондів, пов’язаних з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Greensill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Ці події проявили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слабкість внутрішніх політик ризик-менеджменту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банк дозволив клієнтам брати надмірні кредити під сумнівні забезпечення, не відстежував належно їхній ризиковий профіль. Внаслідок цього було зіпсовано репутацію і підірвано довіру інвесторів. Попри спроби реорганізації, в березні 2023, на фоні загальної нервозності після випадків SVB,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Credit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Suisse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зіткнувся з відтоком коштів і падінням вартості акцій. Швейцарський центробанк був змушений організувати термінове поглинання CS банком UBS, щоб запобігти його неконтрольованому краху. Цей приклад підтверджує: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ризик-менеджмент має бути невід’ємною частиною культури банку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а повторні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збої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 контролі ризиків і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комплаєнсі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(як у випадку CS) неминуче накопичують проблеми та можуть звалити навіть глобальний банк. Для топ-менеджменту це урок про персональну відповідальність: після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Archegos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підрозділів ризику було звільнено, але репутаційна шкода вже була нанесена. Банки по всьому світу переглянули ліміти на контрагентів та практики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margin-call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після ситуації з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Archegos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3125C8" w14:textId="019AEE6A" w:rsidR="004E104A" w:rsidRPr="004E104A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Використання AI для зниження кредитного ризику.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Позитивний приклад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широкомасштабне впровадження машинного навчання дозволило банкам покращити якість кредитного портфеля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Зокрема, в одному з кейсів впровадження AI-системи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скорингу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призвело до 15% зростання схвалення заявок при одночасному зниженні дефолтів на 10%. Це демонструє, як інновації в оцінці ризиків розширюють бізнес-можливості без погіршення його якості.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Приклад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Santander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вже згадувався: банк завдяки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predictive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analytics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скоротив частку “раптових” дефолтів, виявляючи проблемних позичальників заздалегідь. Інший приклад –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Monobank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та інші цифрові банки, які активно використовують нетрадиційні дані (поведінкові, дані смартфона) для оцінки позичальників. В результаті вони змогли вийти на сегменти, які раніше вважалися надто ризикованими (молодь без кредитної історії тощо), і утримати прийнятний рівень дефолтів. Ці випадки 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ілюструють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Big</w:t>
      </w:r>
      <w:proofErr w:type="spellEnd"/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 та AI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: краща оцінка ризику дозволяє і прибуток підвищити, і зробити фінансові послуги доступнішими,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зберігаючи керованість ризиками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Водночас банки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управляти і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ризиком моделей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проводять незалежні перевірки алгоритмів, щоб уникнути ситуацій, коли модель збільшує ризики (наприклад,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непередбачувано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змінює критерії і починає схвалювати завідомо погані кредити).</w:t>
      </w:r>
    </w:p>
    <w:p w14:paraId="2A835016" w14:textId="77777777" w:rsidR="004E104A" w:rsidRPr="004E104A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C46">
        <w:rPr>
          <w:rFonts w:ascii="Times New Roman" w:hAnsi="Times New Roman" w:cs="Times New Roman"/>
          <w:i/>
          <w:iCs/>
          <w:sz w:val="28"/>
          <w:szCs w:val="28"/>
          <w:lang w:val="uk-UA"/>
        </w:rPr>
        <w:t>Кібератаки на банки та важливість кіберзахисту.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Останні роки відзначились кількома гучними інцидентами кібербезпеки у фінансовій сфері.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у 2021 хакери зламали системи одного з великих банків Нової Зеландії, що спричинило багатогодинний простій онлайн-сервісів. У 2019 сталася масштабна крадіжка даних у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(США) – компрометація персональних даних ~100 мільйонів клієнтів через помилку конфігурації хмарного серверу. Ці інциденти завдали значних репутаційних втрат і штрафів. Вони служать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нагадуванням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операційні та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кіберризики</w:t>
      </w:r>
      <w:proofErr w:type="spellEnd"/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 реальні та потребують постійних інвестицій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Банки відповіли підсиленням кіберзахисту: збільшено бюджети на ІТ-безпеку, створено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центри моніторингу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кіберзагроз</w:t>
      </w:r>
      <w:proofErr w:type="spellEnd"/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 (SOC)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проводяться регулярні навчання персоналу з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кібергігієни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Українські банки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під час війни 2022 також відбивали безпрецедентні кібератаки і навчились підтримувати роботу навіть під час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блекаутів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фактично пройшли екстремальне випробування операційної стійкості. Досвід показав, що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інвестувати в превентивні заходи дешевше, ніж потім ліквідовувати наслідки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кібератаки, а відмова онлайн-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банкінгу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навіть на кілька годин серйозно б’є по довірі клієнтів. Тому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кіберризик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тепер на контролі не лише технічних фахівців, а й ради директорів банків.</w:t>
      </w:r>
    </w:p>
    <w:p w14:paraId="0AA41B16" w14:textId="77777777" w:rsidR="004E104A" w:rsidRPr="004E104A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Наведенні приклади підтверджують ключові тези: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ефективне управління ризиками – це не теорія, а життєва необхідність для банку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Помилки або недбалість в цій сфері швидко приводять до реальних втрат, тоді як передові підходи дають конкурентну перевагу. Кожна криза чи інцидент стає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уроком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>, який галузь враховує, вдосконалюючи практики ризик-менеджменту.</w:t>
      </w:r>
    </w:p>
    <w:p w14:paraId="773A6724" w14:textId="6FAD3304" w:rsidR="004E104A" w:rsidRPr="004E104A" w:rsidRDefault="00C57C46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Загалом, с</w:t>
      </w:r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учасне управління банківськими ризиками являє собою </w:t>
      </w:r>
      <w:r w:rsidR="004E104A" w:rsidRPr="00C57C46">
        <w:rPr>
          <w:rFonts w:ascii="Times New Roman" w:hAnsi="Times New Roman" w:cs="Times New Roman"/>
          <w:sz w:val="28"/>
          <w:szCs w:val="28"/>
          <w:lang w:val="uk-UA"/>
        </w:rPr>
        <w:t>комплексну, багатоаспектну систему</w:t>
      </w:r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, яка пронизує всі рівні діяльності банку – від фронт-офісу до ради директорів. Ми розглянули, як класичні поняття ризик-менеджменту еволюціонували під впливом нових трендів: з’явилися нові види ризиків (</w:t>
      </w:r>
      <w:proofErr w:type="spellStart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кібер</w:t>
      </w:r>
      <w:proofErr w:type="spellEnd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, ESG, модельний), нові методи їх оцінки (</w:t>
      </w:r>
      <w:proofErr w:type="spellStart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Big</w:t>
      </w:r>
      <w:proofErr w:type="spellEnd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AI, кліматичні </w:t>
      </w:r>
      <w:proofErr w:type="spellStart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stress-test</w:t>
      </w:r>
      <w:proofErr w:type="spellEnd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) та інноваційні інструменти мінімізації (блокчейн, </w:t>
      </w:r>
      <w:proofErr w:type="spellStart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banking</w:t>
      </w:r>
      <w:proofErr w:type="spellEnd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). Банки, що вчасно адаптуються до цих змін, отримують більш стійку бізнес-модель і довіру </w:t>
      </w:r>
      <w:proofErr w:type="spellStart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4E104A" w:rsidRPr="004E10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93D860" w14:textId="77777777" w:rsidR="004E104A" w:rsidRPr="004E104A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Важливо підкреслити, що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ризики у банківській сфері взаємопов’язані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. Наприклад, прорахунки в моделі кредитного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скорингу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(модельний ризик) можуть призвести до зростання неповернень (кредитний ризик), що 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викличе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відтік депозитів (ліквідні ризики) і приверне увагу регулятора (</w:t>
      </w:r>
      <w:proofErr w:type="spellStart"/>
      <w:r w:rsidRPr="004E104A">
        <w:rPr>
          <w:rFonts w:ascii="Times New Roman" w:hAnsi="Times New Roman" w:cs="Times New Roman"/>
          <w:sz w:val="28"/>
          <w:szCs w:val="28"/>
          <w:lang w:val="uk-UA"/>
        </w:rPr>
        <w:t>комплаєнс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-ризик). Тому підхід до управління ризиками має бути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цілісним і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проактивним</w:t>
      </w:r>
      <w:proofErr w:type="spellEnd"/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: виявляти проблеми на стику різних сфер, формувати резерви під всі суттєві ризики, а головне –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формувати культуру усвідомлення ризиків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на кожному рівні. Культура ризик-менеджменту означає, що рішення про нові продукти, стратегії чи технології приймаються з огляду на їх ризик-профіль і способи контролю.</w:t>
      </w:r>
    </w:p>
    <w:p w14:paraId="40E09DF0" w14:textId="77777777" w:rsidR="004E104A" w:rsidRPr="004E104A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Сучасні регуляторні вимоги (Базель IV, вимоги ЄС, настанови НБУ) задають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високу планку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– фактично, регулятори очікують, що банки зможуть вижити в умовах серйозних потрясінь. Але виконання цих вимог – в інтересах самих банків. Зрештою,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стабільність банківської установи напряму залежить від того, наскільки добре вона розуміє та контролює свої ризики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>. Події останніх років – від пандемії до війни, від банківських крахів до кібератак – лише підтвердили мудрість цієї максими.</w:t>
      </w:r>
    </w:p>
    <w:p w14:paraId="76A4DB3E" w14:textId="2FB8FCC6" w:rsidR="00AC3759" w:rsidRPr="00C57C46" w:rsidRDefault="004E104A" w:rsidP="00C57C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Отже, оновлена та розширена система управління банківськими ризиками – це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живий механізм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, що постійно вдосконалюється. Банки інвестують у нові технології, наймають кваліфікованих ризик-менеджерів, перебудовують процеси, аби передбачати майбутні загрози. </w:t>
      </w:r>
      <w:r w:rsidRPr="00C57C46">
        <w:rPr>
          <w:rFonts w:ascii="Times New Roman" w:hAnsi="Times New Roman" w:cs="Times New Roman"/>
          <w:sz w:val="28"/>
          <w:szCs w:val="28"/>
          <w:lang w:val="uk-UA"/>
        </w:rPr>
        <w:t>Принцип “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C57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7C46">
        <w:rPr>
          <w:rFonts w:ascii="Times New Roman" w:hAnsi="Times New Roman" w:cs="Times New Roman"/>
          <w:sz w:val="28"/>
          <w:szCs w:val="28"/>
          <w:lang w:val="uk-UA"/>
        </w:rPr>
        <w:t>first</w:t>
      </w:r>
      <w:proofErr w:type="spellEnd"/>
      <w:r w:rsidRPr="00C57C46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4E104A">
        <w:rPr>
          <w:rFonts w:ascii="Times New Roman" w:hAnsi="Times New Roman" w:cs="Times New Roman"/>
          <w:sz w:val="28"/>
          <w:szCs w:val="28"/>
          <w:lang w:val="uk-UA"/>
        </w:rPr>
        <w:t xml:space="preserve"> стає визначальним у корпоративній стратегії банків: зростання і прибутковість тепер досягаються не шляхом надмірного ризику, а навпаки – через грамотне управління ризиками, що дозволяє рухатися вперед без потрясінь. Лише та фінансова установа, яка по-справжньому опанувала науку управління ризиками, може вважатися стійкою та сучасною в нинішньому фінансовому ландшафті.</w:t>
      </w:r>
    </w:p>
    <w:sectPr w:rsidR="00AC3759" w:rsidRPr="00C57C46" w:rsidSect="007F3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C7A"/>
    <w:multiLevelType w:val="multilevel"/>
    <w:tmpl w:val="4802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F3952"/>
    <w:multiLevelType w:val="multilevel"/>
    <w:tmpl w:val="79A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D78A6"/>
    <w:multiLevelType w:val="multilevel"/>
    <w:tmpl w:val="73E6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A72E2"/>
    <w:multiLevelType w:val="hybridMultilevel"/>
    <w:tmpl w:val="1212C3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A40B5B"/>
    <w:multiLevelType w:val="multilevel"/>
    <w:tmpl w:val="BA6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E09E0"/>
    <w:multiLevelType w:val="multilevel"/>
    <w:tmpl w:val="2CE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654A0"/>
    <w:multiLevelType w:val="multilevel"/>
    <w:tmpl w:val="7E0C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6451A"/>
    <w:multiLevelType w:val="multilevel"/>
    <w:tmpl w:val="5E52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56B1F"/>
    <w:multiLevelType w:val="multilevel"/>
    <w:tmpl w:val="BA6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E4E86"/>
    <w:multiLevelType w:val="multilevel"/>
    <w:tmpl w:val="823C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77557"/>
    <w:multiLevelType w:val="multilevel"/>
    <w:tmpl w:val="BA6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C7B07"/>
    <w:multiLevelType w:val="multilevel"/>
    <w:tmpl w:val="051C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9E630C"/>
    <w:multiLevelType w:val="multilevel"/>
    <w:tmpl w:val="1D26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F725F4"/>
    <w:multiLevelType w:val="multilevel"/>
    <w:tmpl w:val="1C1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9720BF"/>
    <w:multiLevelType w:val="multilevel"/>
    <w:tmpl w:val="C940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87400"/>
    <w:multiLevelType w:val="multilevel"/>
    <w:tmpl w:val="FCBC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466EB"/>
    <w:multiLevelType w:val="multilevel"/>
    <w:tmpl w:val="4A7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E10F2F"/>
    <w:multiLevelType w:val="multilevel"/>
    <w:tmpl w:val="718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675FB"/>
    <w:multiLevelType w:val="multilevel"/>
    <w:tmpl w:val="BA6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613AB6"/>
    <w:multiLevelType w:val="multilevel"/>
    <w:tmpl w:val="145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1080F"/>
    <w:multiLevelType w:val="multilevel"/>
    <w:tmpl w:val="8C02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9"/>
  </w:num>
  <w:num w:numId="5">
    <w:abstractNumId w:val="11"/>
  </w:num>
  <w:num w:numId="6">
    <w:abstractNumId w:val="20"/>
  </w:num>
  <w:num w:numId="7">
    <w:abstractNumId w:val="12"/>
  </w:num>
  <w:num w:numId="8">
    <w:abstractNumId w:val="5"/>
  </w:num>
  <w:num w:numId="9">
    <w:abstractNumId w:val="15"/>
  </w:num>
  <w:num w:numId="10">
    <w:abstractNumId w:val="1"/>
  </w:num>
  <w:num w:numId="11">
    <w:abstractNumId w:val="14"/>
  </w:num>
  <w:num w:numId="12">
    <w:abstractNumId w:val="17"/>
  </w:num>
  <w:num w:numId="13">
    <w:abstractNumId w:val="6"/>
  </w:num>
  <w:num w:numId="14">
    <w:abstractNumId w:val="16"/>
  </w:num>
  <w:num w:numId="15">
    <w:abstractNumId w:val="4"/>
  </w:num>
  <w:num w:numId="16">
    <w:abstractNumId w:val="9"/>
  </w:num>
  <w:num w:numId="17">
    <w:abstractNumId w:val="13"/>
  </w:num>
  <w:num w:numId="18">
    <w:abstractNumId w:val="3"/>
  </w:num>
  <w:num w:numId="19">
    <w:abstractNumId w:val="18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F"/>
    <w:rsid w:val="000A142E"/>
    <w:rsid w:val="00205F9F"/>
    <w:rsid w:val="002C0E6A"/>
    <w:rsid w:val="00341A37"/>
    <w:rsid w:val="00383B65"/>
    <w:rsid w:val="003A3E10"/>
    <w:rsid w:val="003E00D1"/>
    <w:rsid w:val="004A7FBE"/>
    <w:rsid w:val="004E104A"/>
    <w:rsid w:val="00580A41"/>
    <w:rsid w:val="00724A54"/>
    <w:rsid w:val="007B01FF"/>
    <w:rsid w:val="007F1A06"/>
    <w:rsid w:val="007F3B26"/>
    <w:rsid w:val="00860480"/>
    <w:rsid w:val="00AB3C2C"/>
    <w:rsid w:val="00AC3759"/>
    <w:rsid w:val="00B21D8A"/>
    <w:rsid w:val="00B93EA9"/>
    <w:rsid w:val="00BC7F96"/>
    <w:rsid w:val="00C16930"/>
    <w:rsid w:val="00C57C46"/>
    <w:rsid w:val="00C71162"/>
    <w:rsid w:val="00CF76E6"/>
    <w:rsid w:val="00D65FE3"/>
    <w:rsid w:val="00E9048C"/>
    <w:rsid w:val="00EF5150"/>
    <w:rsid w:val="00F3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DA49"/>
  <w15:chartTrackingRefBased/>
  <w15:docId w15:val="{0B048B57-73CE-452E-A130-1FAC5D8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1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1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1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1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1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1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1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1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1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1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1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104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Рева</dc:creator>
  <cp:keywords/>
  <dc:description/>
  <cp:lastModifiedBy>Вячеслав Рева</cp:lastModifiedBy>
  <cp:revision>2</cp:revision>
  <dcterms:created xsi:type="dcterms:W3CDTF">2025-03-09T14:49:00Z</dcterms:created>
  <dcterms:modified xsi:type="dcterms:W3CDTF">2025-03-09T14:49:00Z</dcterms:modified>
</cp:coreProperties>
</file>