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8EB8" w14:textId="77777777" w:rsidR="0085782B" w:rsidRDefault="0085782B" w:rsidP="008578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5CAB53" w14:textId="21DC0996" w:rsidR="0085782B" w:rsidRDefault="0085782B" w:rsidP="008578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Лекція 3 Правові основи оцінки майна</w:t>
      </w:r>
    </w:p>
    <w:p w14:paraId="4F48488A" w14:textId="582FFF29" w:rsidR="006A6893" w:rsidRDefault="0085782B" w:rsidP="0085782B">
      <w:pPr>
        <w:jc w:val="both"/>
      </w:pP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Земельним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Законами «Про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оціночну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земель», «Про Фонд державного майна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>», наказами Держав</w:t>
      </w:r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агентства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Фонду державного майна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актами. Нормативна база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затверджені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методики та порядки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оціночних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склад і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3.1.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юридичній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вільному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волевиявленні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майновій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кодекс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об'-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єктом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нематеріа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блага, з приводу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благ.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оборотоздатність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відчужуватися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особи до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82B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спадкування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чином. 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об'єк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нематеріальні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блага.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вовідносин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природному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>, за</w:t>
      </w:r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довольняє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сифікувати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1)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оборотоздатності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: 47 -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вилучено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обороту,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>, на</w:t>
      </w:r>
      <w:r w:rsidRPr="0085782B">
        <w:rPr>
          <w:rFonts w:ascii="Times New Roman" w:hAnsi="Times New Roman" w:cs="Times New Roman"/>
          <w:sz w:val="28"/>
          <w:szCs w:val="28"/>
        </w:rPr>
        <w:t xml:space="preserve">приклад,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боєприпаси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бойова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військова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>, ракетно-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космічні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вибухові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такими;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обороті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ціального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вогнепальна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гладкостволь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мисливська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вогнепальна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мисливська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нарізна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газові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пістолети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револьвери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вільному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обороті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вилучено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обороту,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lastRenderedPageBreak/>
        <w:t>циві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льному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обороті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виключено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 обороту, не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бути предметом право</w:t>
      </w:r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чинів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обороті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жуть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дозволом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вільному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обороті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2)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нерухомі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об'єк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земельній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неможли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знецінення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садиба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нерухомої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поширено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законом 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повітряні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морські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судна, судна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космічні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права 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рухомі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відносити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міщувати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нерухомі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3) За способами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наділені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тивими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вирізняють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однорідних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речей;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родові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родовими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тивими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речам того самого роду,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вимірюються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числом, вагою,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кілограми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родові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замінними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незамінні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48 4)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неподільні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льового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Режим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непо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дільної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поширюватись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суку</w:t>
      </w:r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пність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різнорідних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речей,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користовувати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сутністю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з'єд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колекція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сумісної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різний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режим. 5)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речами: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визнається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річчю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належністю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покликана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слугувати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головній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 нею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господарським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приналежності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відмежовувати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все те,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докремити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істотного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знецінення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поділяє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долю го</w:t>
      </w:r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ловної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законом. 6)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споживні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одноразового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викорис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знищуються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припиняють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первісному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сировина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напівфабрикати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неспоживні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неодноразового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зберігають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первісний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7)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lastRenderedPageBreak/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все те,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отримане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- плоди,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органічного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тварин,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приплід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речей,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урожай. - доходи,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цивільному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обороті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орендна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плата,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банку,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дохо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ди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плоди та доходи належать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власникові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за</w:t>
      </w:r>
      <w:r w:rsidRPr="0085782B">
        <w:rPr>
          <w:rFonts w:ascii="Times New Roman" w:hAnsi="Times New Roman" w:cs="Times New Roman"/>
          <w:sz w:val="28"/>
          <w:szCs w:val="28"/>
        </w:rPr>
        <w:t xml:space="preserve">коном. 8)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жива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: 49 -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хордові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хребетні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ссавці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птахи,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зуни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земноводні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безхребетні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членистоногі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молюски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голкошкірі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видовому і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популяційному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різ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номанітті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неживі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на тварин, за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правилом,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правила,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правила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поводжен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 режим —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857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t xml:space="preserve"> </w:t>
      </w:r>
      <w:proofErr w:type="spellStart"/>
      <w:r>
        <w:t>занесені</w:t>
      </w:r>
      <w:proofErr w:type="spellEnd"/>
      <w:r>
        <w:t xml:space="preserve"> у </w:t>
      </w:r>
      <w:proofErr w:type="spellStart"/>
      <w:r>
        <w:t>Чер</w:t>
      </w:r>
      <w:proofErr w:type="spellEnd"/>
      <w:r>
        <w:t xml:space="preserve">вону книгу </w:t>
      </w:r>
      <w:proofErr w:type="spellStart"/>
      <w:r>
        <w:t>тощо</w:t>
      </w:r>
      <w:proofErr w:type="spellEnd"/>
      <w:r>
        <w:t>.</w:t>
      </w:r>
    </w:p>
    <w:sectPr w:rsidR="006A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2B"/>
    <w:rsid w:val="006A6893"/>
    <w:rsid w:val="0085782B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BD3B"/>
  <w15:chartTrackingRefBased/>
  <w15:docId w15:val="{2069C5F8-3003-4CC6-AC99-E2F90A7C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2025-03-30T20:56:00Z</dcterms:created>
  <dcterms:modified xsi:type="dcterms:W3CDTF">2025-03-30T20:57:00Z</dcterms:modified>
</cp:coreProperties>
</file>