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4B852" w14:textId="04C1902C" w:rsidR="00AC3759" w:rsidRPr="00B63D41" w:rsidRDefault="007C1DFE" w:rsidP="00B63D41">
      <w:pPr>
        <w:jc w:val="center"/>
        <w:rPr>
          <w:rFonts w:ascii="Times New Roman" w:hAnsi="Times New Roman" w:cs="Times New Roman"/>
          <w:sz w:val="28"/>
          <w:szCs w:val="28"/>
          <w:lang w:val="uk-UA"/>
        </w:rPr>
      </w:pPr>
      <w:r w:rsidRPr="00B63D41">
        <w:rPr>
          <w:rFonts w:ascii="Times New Roman" w:hAnsi="Times New Roman" w:cs="Times New Roman"/>
          <w:b/>
          <w:bCs/>
          <w:sz w:val="28"/>
          <w:szCs w:val="28"/>
          <w:lang w:val="uk-UA"/>
        </w:rPr>
        <w:t>ЛЕКЦІЯ 1</w:t>
      </w:r>
      <w:r w:rsidR="00483785">
        <w:rPr>
          <w:rFonts w:ascii="Times New Roman" w:hAnsi="Times New Roman" w:cs="Times New Roman"/>
          <w:b/>
          <w:bCs/>
          <w:sz w:val="28"/>
          <w:szCs w:val="28"/>
          <w:lang w:val="uk-UA"/>
        </w:rPr>
        <w:t>4</w:t>
      </w:r>
      <w:r w:rsidRPr="00B63D41">
        <w:rPr>
          <w:rFonts w:ascii="Times New Roman" w:hAnsi="Times New Roman" w:cs="Times New Roman"/>
          <w:b/>
          <w:bCs/>
          <w:sz w:val="28"/>
          <w:szCs w:val="28"/>
          <w:lang w:val="uk-UA"/>
        </w:rPr>
        <w:t>. ПЕРСПЕКТИВИ РОЗВИТКУ БАНКІВСЬКОЇ СИСТЕМИ УКРАЇНИ</w:t>
      </w:r>
    </w:p>
    <w:p w14:paraId="3D4176AC" w14:textId="77777777" w:rsidR="009B44A7" w:rsidRPr="00B63D41" w:rsidRDefault="009B44A7" w:rsidP="00B63D41">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Українська банківська система розвивається в умовах інфляційного таргетування та контролю монетарних показників з боку НБУ. Ще до війни НБУ впровадив режим інфляційного таргетування з цільовим показником близько 5%, що сприяло зниженню інфляції та стабілізації очікувань. Під час війни пріоритетом стало стримування інфляції та курсової волатильності – НБУ зафіксував курс гривні та підняв облікову ставку (до 25% річних у 2022 р.) для захисту фінансової стабільності. Завдяки жорсткій політиці інфляцію вдалось поступово знизити (з понад 20% у 2022 році до приблизно 10–12% наприкінці 2023 року), а монетарна база залишалася контрольованою.</w:t>
      </w:r>
    </w:p>
    <w:p w14:paraId="13727C4E" w14:textId="77777777" w:rsidR="009B44A7" w:rsidRPr="00B63D41" w:rsidRDefault="009B44A7" w:rsidP="00B63D41">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Надзвичайні заходи, запроваджені в початковий період війни, включали фіксацію обмінного курсу та обмеження на валютні операції. Це дало змогу стримати паніку та відтік капіталу, убезпечити золотовалютні резерви. Водночас НБУ частково монетизував дефіцит бюджету, викуповуючи військові облігації, щоб підтримати урядові витрати в критичних умовах. З осені 2022 року НБУ та Мінфін почали спільні кроки для нарощення ринкового попиту на державні облігації з метою відмови від прямої монетизації бюджету, що допомогло обмежити інфляційний тиск.</w:t>
      </w:r>
    </w:p>
    <w:p w14:paraId="2A176B51" w14:textId="77777777" w:rsidR="009B44A7" w:rsidRPr="00B63D41" w:rsidRDefault="009B44A7" w:rsidP="00B63D41">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У 2023 році при відносній стабілізації ситуації регулятор поступово пом’якшив облікову ставку (з 25% до 20% річних), сигналізуючи про зменшення інфляційних ризиків. Проте на початку 2025 року, з огляду на динаміку цін, НБУ знову підвищив ставку до 15,5%, демонструючи гнучке реагування на виклики цінової стабільності. Стабільні ціни та помірна інфляція залишаються передумовою стійкого розвитку банківського сектора, адже висока інфляція підриває довіру до гривневих заощаджень.</w:t>
      </w:r>
    </w:p>
    <w:p w14:paraId="5F7CD7FE" w14:textId="24062C1C" w:rsidR="009B44A7" w:rsidRPr="00B63D41" w:rsidRDefault="009B44A7" w:rsidP="007722A2">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Надалі Національний банк планує </w:t>
      </w:r>
      <w:r w:rsidRPr="007722A2">
        <w:rPr>
          <w:rFonts w:ascii="Times New Roman" w:hAnsi="Times New Roman" w:cs="Times New Roman"/>
          <w:sz w:val="28"/>
          <w:szCs w:val="28"/>
          <w:lang w:val="uk-UA"/>
        </w:rPr>
        <w:t>повернутися до класичного інфляційного таргетування та гнучкого валютного курсу</w:t>
      </w:r>
      <w:r w:rsidRPr="00B63D41">
        <w:rPr>
          <w:rFonts w:ascii="Times New Roman" w:hAnsi="Times New Roman" w:cs="Times New Roman"/>
          <w:sz w:val="28"/>
          <w:szCs w:val="28"/>
          <w:lang w:val="uk-UA"/>
        </w:rPr>
        <w:t xml:space="preserve"> щойно для цього сформуються передумови. Це означає, що після нормалізації макроекономічної ситуації курс гривні буде більш ринковим, валютні обмеження поступово скасують, а НБУ знову зосередиться на досягненні інфляційної цілі в середньостроковій перспективі. Такий план відповідає вимогам МВФ і міжнародних партнерів: зокрема, нова програма МВФ (EFF, затверджена у березні 2023 року) передбачає, що монетарна політика </w:t>
      </w:r>
      <w:r w:rsidRPr="00B63D41">
        <w:rPr>
          <w:rFonts w:ascii="Times New Roman" w:hAnsi="Times New Roman" w:cs="Times New Roman"/>
          <w:sz w:val="28"/>
          <w:szCs w:val="28"/>
          <w:lang w:val="uk-UA"/>
        </w:rPr>
        <w:lastRenderedPageBreak/>
        <w:t>України має забезпечити стійке зниження інфляції, а по мірі зміцнення економіки – повернення до режиму плаваючого курсу та таргетованої інфляції. Таким чином, макроекономічні орієнтири розвитку банківської системи на 2024–2025 роки пов’язані з підтриманням помірної інфляції, стабільності гривні та поступовим відновленням ринкових механізмів на валютному ринку.</w:t>
      </w:r>
    </w:p>
    <w:p w14:paraId="537715BF" w14:textId="27BCC304" w:rsidR="009B44A7" w:rsidRPr="00B63D41" w:rsidRDefault="009B44A7" w:rsidP="007722A2">
      <w:pPr>
        <w:jc w:val="center"/>
        <w:rPr>
          <w:rFonts w:ascii="Times New Roman" w:hAnsi="Times New Roman" w:cs="Times New Roman"/>
          <w:b/>
          <w:bCs/>
          <w:sz w:val="28"/>
          <w:szCs w:val="28"/>
          <w:lang w:val="uk-UA"/>
        </w:rPr>
      </w:pPr>
      <w:r w:rsidRPr="00B63D41">
        <w:rPr>
          <w:rFonts w:ascii="Times New Roman" w:hAnsi="Times New Roman" w:cs="Times New Roman"/>
          <w:b/>
          <w:bCs/>
          <w:sz w:val="28"/>
          <w:szCs w:val="28"/>
          <w:lang w:val="uk-UA"/>
        </w:rPr>
        <w:t>Регуляторні реформи та фінансова стійкість банків</w:t>
      </w:r>
    </w:p>
    <w:p w14:paraId="1A8A1E80" w14:textId="29A56EA7" w:rsidR="009B44A7" w:rsidRPr="00B63D41" w:rsidRDefault="009B44A7" w:rsidP="007722A2">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Останні роки характеризуються суттєвим посиленням пруденційного нагляду та імплементацією міжнародних стандартів фінансової стійкості в Україні. Національний банк послідовно впроваджує норми </w:t>
      </w:r>
      <w:r w:rsidRPr="007722A2">
        <w:rPr>
          <w:rFonts w:ascii="Times New Roman" w:hAnsi="Times New Roman" w:cs="Times New Roman"/>
          <w:sz w:val="28"/>
          <w:szCs w:val="28"/>
          <w:lang w:val="uk-UA"/>
        </w:rPr>
        <w:t>Базель III</w:t>
      </w:r>
      <w:r w:rsidRPr="00B63D41">
        <w:rPr>
          <w:rFonts w:ascii="Times New Roman" w:hAnsi="Times New Roman" w:cs="Times New Roman"/>
          <w:sz w:val="28"/>
          <w:szCs w:val="28"/>
          <w:lang w:val="uk-UA"/>
        </w:rPr>
        <w:t xml:space="preserve"> та директив ЄС у національне регулювання банківського сектору. Зокрема, було підвищено вимоги до капіталу і ліквідності банків: введено буфери капіталу, коефіцієнти покриття ліквідності (LCR) у національній та іноземній валютах, а з 2021 року – норматив чистого стабільного фінансування (NSFR). Наприкінці 2019 р. НБУ ухвалив рішення про включення операційного ризику до розрахунку нормативу достатності капіталу, що зобов’язало банки з 2022 року покривати капіталом і цей вид ризику. Таким чином, </w:t>
      </w:r>
      <w:r w:rsidRPr="007722A2">
        <w:rPr>
          <w:rFonts w:ascii="Times New Roman" w:hAnsi="Times New Roman" w:cs="Times New Roman"/>
          <w:sz w:val="28"/>
          <w:szCs w:val="28"/>
          <w:lang w:val="uk-UA"/>
        </w:rPr>
        <w:t>мінімальна достатність капіталу</w:t>
      </w:r>
      <w:r w:rsidRPr="00B63D41">
        <w:rPr>
          <w:rFonts w:ascii="Times New Roman" w:hAnsi="Times New Roman" w:cs="Times New Roman"/>
          <w:sz w:val="28"/>
          <w:szCs w:val="28"/>
          <w:lang w:val="uk-UA"/>
        </w:rPr>
        <w:t xml:space="preserve"> тепер рахується з урахуванням кредитного, валютного та операційного ризиків, що підвищує надійність банківської системи. За оцінками регулятора, повна імплементація вимог Базель III відбувається поступово і наближає український банківський сектор до найкращих світових практик.</w:t>
      </w:r>
    </w:p>
    <w:p w14:paraId="3FC0CD5F" w14:textId="4A92C99E" w:rsidR="009B44A7" w:rsidRPr="00B63D41" w:rsidRDefault="009B44A7" w:rsidP="007722A2">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Паралельно вдосконалюються підходи до </w:t>
      </w:r>
      <w:r w:rsidRPr="007722A2">
        <w:rPr>
          <w:rFonts w:ascii="Times New Roman" w:hAnsi="Times New Roman" w:cs="Times New Roman"/>
          <w:sz w:val="28"/>
          <w:szCs w:val="28"/>
          <w:lang w:val="uk-UA"/>
        </w:rPr>
        <w:t>банківського нагляду</w:t>
      </w:r>
      <w:r w:rsidRPr="00B63D41">
        <w:rPr>
          <w:rFonts w:ascii="Times New Roman" w:hAnsi="Times New Roman" w:cs="Times New Roman"/>
          <w:sz w:val="28"/>
          <w:szCs w:val="28"/>
          <w:lang w:val="uk-UA"/>
        </w:rPr>
        <w:t xml:space="preserve">. НБУ перейшов до ризик-орієнтованого нагляду, приділяючи увагу системним ризикам і вразливостям окремих банків. Запроваджено регулярні оцінки стійкості банків – </w:t>
      </w:r>
      <w:r w:rsidRPr="007722A2">
        <w:rPr>
          <w:rFonts w:ascii="Times New Roman" w:hAnsi="Times New Roman" w:cs="Times New Roman"/>
          <w:sz w:val="28"/>
          <w:szCs w:val="28"/>
          <w:lang w:val="uk-UA"/>
        </w:rPr>
        <w:t>стрес-тестування</w:t>
      </w:r>
      <w:r w:rsidRPr="00B63D41">
        <w:rPr>
          <w:rFonts w:ascii="Times New Roman" w:hAnsi="Times New Roman" w:cs="Times New Roman"/>
          <w:sz w:val="28"/>
          <w:szCs w:val="28"/>
          <w:lang w:val="uk-UA"/>
        </w:rPr>
        <w:t xml:space="preserve"> – що стали невід’ємною частиною контролю. Після банківської кризи 2014–2016 років щорічні стрес-тести допомогли виявити слабкі установи, санацію або виведення з ринку понад 100 проблемних банків, а також докапіталізацію життєздатних фінансових установ. Як результат, перед початком війни сектор увійшов з високим рівнем капіталу (середній показник достатності перевищував 20%) та низьким борговим навантаженням.</w:t>
      </w:r>
    </w:p>
    <w:p w14:paraId="62938A2E" w14:textId="492BCDC0" w:rsidR="009B44A7" w:rsidRPr="00B63D41" w:rsidRDefault="009B44A7" w:rsidP="007722A2">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В умовах війни НБУ тимчасово послабив окремі нормативи, щоб банки мали простір для поглинання збитків. Зокрема, було запроваджено мораторій на визнання деяких активів непрацюючими у зонах бойових дій, </w:t>
      </w:r>
      <w:r w:rsidRPr="00B63D41">
        <w:rPr>
          <w:rFonts w:ascii="Times New Roman" w:hAnsi="Times New Roman" w:cs="Times New Roman"/>
          <w:sz w:val="28"/>
          <w:szCs w:val="28"/>
          <w:lang w:val="uk-UA"/>
        </w:rPr>
        <w:lastRenderedPageBreak/>
        <w:t>а вимоги до створення резервів пом’якшені. Водночас навіть під час війни банки загалом зберегли значний запас капіталу і ліквідності, а фінансова система залишалася операційно стійкою. У 2022 році жоден системний банк не збанкрутував; лише кілька найменших установ було виведено з ринку переважно з причин, не пов’язаних з воєнними втратами.</w:t>
      </w:r>
    </w:p>
    <w:p w14:paraId="5128EA4A" w14:textId="63B5E93B" w:rsidR="009B44A7" w:rsidRPr="00B63D41" w:rsidRDefault="009B44A7" w:rsidP="007722A2">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Надалі акцент зроблено на </w:t>
      </w:r>
      <w:r w:rsidRPr="007722A2">
        <w:rPr>
          <w:rFonts w:ascii="Times New Roman" w:hAnsi="Times New Roman" w:cs="Times New Roman"/>
          <w:sz w:val="28"/>
          <w:szCs w:val="28"/>
          <w:lang w:val="uk-UA"/>
        </w:rPr>
        <w:t>діагностиці активів і якості кредитного портфеля</w:t>
      </w:r>
      <w:r w:rsidRPr="00B63D41">
        <w:rPr>
          <w:rFonts w:ascii="Times New Roman" w:hAnsi="Times New Roman" w:cs="Times New Roman"/>
          <w:sz w:val="28"/>
          <w:szCs w:val="28"/>
          <w:lang w:val="uk-UA"/>
        </w:rPr>
        <w:t>. Відповідно до нової програми МВФ та стратегічних планів, НБУ провів оцінку актуального стану банків: до кінця 2023 року здійснено аналіз активів і платоспроможності банків, на які припадає 90% активів системи. Така діагностика – своєрідний стрес-тест воєнного часу – дозволяє виявити потенційні втрати (насамперед від непрацюючих кредитів) і визначити потребу в докапіталізації чи інших заходах для окремих установ. На основі цих результатів буде сформовано пріоритети нагляду: зокрема, вирішення проблеми високого рівня NPL (непрацюючих кредитів) та механізми підтримки банків, капітал яких може виявитися недостатнім.</w:t>
      </w:r>
    </w:p>
    <w:p w14:paraId="29B10215" w14:textId="54C17957" w:rsidR="009B44A7" w:rsidRPr="00B63D41" w:rsidRDefault="009B44A7" w:rsidP="007722A2">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Українські банки вже накопичили значний досвід роботи з проблемними активами: після кризи 2014–2015 рр. частка NPL сягала понад 50%, але завдяки очищенню балансів до початку 2022 р. знизилася до ~27%. Війна зумовила появу нової хвилі проблемних боргів (втрата платоспроможності позичальників на окупованих територіях, знищення застав тощо). Тому НБУ спільно з міжнародними партнерами розробляє стратегії врегулювання NPL: зокрема, планується створення комплексної системи реструктуризації або списання безнадійних боргів, вдосконалення процедур банкрутства та стягнення, а також залучення інвесторів до викупу проблемних портфелів.</w:t>
      </w:r>
    </w:p>
    <w:p w14:paraId="06A9BA5F" w14:textId="1D58D094" w:rsidR="009B44A7" w:rsidRPr="00B63D41" w:rsidRDefault="009B44A7" w:rsidP="007722A2">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Важливою складовою стійкості є і </w:t>
      </w:r>
      <w:r w:rsidRPr="007722A2">
        <w:rPr>
          <w:rFonts w:ascii="Times New Roman" w:hAnsi="Times New Roman" w:cs="Times New Roman"/>
          <w:sz w:val="28"/>
          <w:szCs w:val="28"/>
          <w:lang w:val="uk-UA"/>
        </w:rPr>
        <w:t>ліквідність банківського сектору</w:t>
      </w:r>
      <w:r w:rsidRPr="00B63D41">
        <w:rPr>
          <w:rFonts w:ascii="Times New Roman" w:hAnsi="Times New Roman" w:cs="Times New Roman"/>
          <w:sz w:val="28"/>
          <w:szCs w:val="28"/>
          <w:lang w:val="uk-UA"/>
        </w:rPr>
        <w:t xml:space="preserve">. На 2024 рік українські банки входять із профіцитом ліквідності – значні залишки на коррахунках та у депозитних сертифікатах НБУ свідчать про обережну кредитну політику в умовах невизначеності. Регулятор стимулює банки конкурувати за строкові депозити, підвищуючи ставки для вкладників, аби зміцнити монетарну трансмісію та залучити ресурси в економіку. НБУ також підвищив нормативи резервування за короткостроковими коштами, що мотивує банки продовжувати строкову базу фондування. Сукупність цих заходів покликана забезпечити </w:t>
      </w:r>
      <w:r w:rsidRPr="007722A2">
        <w:rPr>
          <w:rFonts w:ascii="Times New Roman" w:hAnsi="Times New Roman" w:cs="Times New Roman"/>
          <w:sz w:val="28"/>
          <w:szCs w:val="28"/>
          <w:lang w:val="uk-UA"/>
        </w:rPr>
        <w:t>фінансову стійкість</w:t>
      </w:r>
      <w:r w:rsidRPr="00B63D41">
        <w:rPr>
          <w:rFonts w:ascii="Times New Roman" w:hAnsi="Times New Roman" w:cs="Times New Roman"/>
          <w:sz w:val="28"/>
          <w:szCs w:val="28"/>
          <w:lang w:val="uk-UA"/>
        </w:rPr>
        <w:t xml:space="preserve"> банківської системи навіть за песимістичних сценаріїв та підготувати її до активного кредитування у період відновлення.</w:t>
      </w:r>
    </w:p>
    <w:p w14:paraId="385F80B7" w14:textId="773F3330" w:rsidR="009B44A7" w:rsidRPr="00B63D41" w:rsidRDefault="009B44A7" w:rsidP="007722A2">
      <w:pPr>
        <w:jc w:val="center"/>
        <w:rPr>
          <w:rFonts w:ascii="Times New Roman" w:hAnsi="Times New Roman" w:cs="Times New Roman"/>
          <w:b/>
          <w:bCs/>
          <w:sz w:val="28"/>
          <w:szCs w:val="28"/>
          <w:lang w:val="uk-UA"/>
        </w:rPr>
      </w:pPr>
      <w:r w:rsidRPr="00B63D41">
        <w:rPr>
          <w:rFonts w:ascii="Times New Roman" w:hAnsi="Times New Roman" w:cs="Times New Roman"/>
          <w:b/>
          <w:bCs/>
          <w:sz w:val="28"/>
          <w:szCs w:val="28"/>
          <w:lang w:val="uk-UA"/>
        </w:rPr>
        <w:lastRenderedPageBreak/>
        <w:t>Цифровізація банківського сектору та FinTech-інновації</w:t>
      </w:r>
    </w:p>
    <w:p w14:paraId="42D9BAC8" w14:textId="311030ED" w:rsidR="009B44A7" w:rsidRPr="00B63D41" w:rsidRDefault="009B44A7" w:rsidP="007722A2">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Сучасні тенденції розвитку банківської системи неможливо уявити без </w:t>
      </w:r>
      <w:r w:rsidRPr="007722A2">
        <w:rPr>
          <w:rFonts w:ascii="Times New Roman" w:hAnsi="Times New Roman" w:cs="Times New Roman"/>
          <w:sz w:val="28"/>
          <w:szCs w:val="28"/>
          <w:lang w:val="uk-UA"/>
        </w:rPr>
        <w:t>цифрових технологій та FinTech</w:t>
      </w:r>
      <w:r w:rsidRPr="00B63D41">
        <w:rPr>
          <w:rFonts w:ascii="Times New Roman" w:hAnsi="Times New Roman" w:cs="Times New Roman"/>
          <w:sz w:val="28"/>
          <w:szCs w:val="28"/>
          <w:lang w:val="uk-UA"/>
        </w:rPr>
        <w:t xml:space="preserve">. Україна ще до війни зробила значний прорив у сфері безготівкових платежів та онлайн-банкінгу. Частка безготівкових операцій за платіжними картками неухильно зростала – з 25% у 2014 році до майже 50% у 2019 році, а станом на 2023 рік перевищила 60%. Це означає, що дедалі більше українців віддають перевагу розрахункам картками, онлайн-переказам та мобільним додаткам замість готівки. Банки активно інвестували в розвиток цифрової інфраструктури: з’явилися </w:t>
      </w:r>
      <w:r w:rsidRPr="007722A2">
        <w:rPr>
          <w:rFonts w:ascii="Times New Roman" w:hAnsi="Times New Roman" w:cs="Times New Roman"/>
          <w:sz w:val="28"/>
          <w:szCs w:val="28"/>
          <w:lang w:val="uk-UA"/>
        </w:rPr>
        <w:t>мобільні банки</w:t>
      </w:r>
      <w:r w:rsidRPr="00B63D41">
        <w:rPr>
          <w:rFonts w:ascii="Times New Roman" w:hAnsi="Times New Roman" w:cs="Times New Roman"/>
          <w:sz w:val="28"/>
          <w:szCs w:val="28"/>
          <w:lang w:val="uk-UA"/>
        </w:rPr>
        <w:t xml:space="preserve"> без відділень (Monobank та ін.), традиційні великі банки (ПриватБанк, Ощадбанк тощо) модернізували свої мобільні застосунки та інтернет-банкінг, забезпечивши клієнтам широкий спектр послуг 24/7.</w:t>
      </w:r>
    </w:p>
    <w:p w14:paraId="35DF5D61" w14:textId="7AAE992D" w:rsidR="009B44A7" w:rsidRPr="00B63D41" w:rsidRDefault="009B44A7" w:rsidP="007722A2">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Пандемія COVID-19, а згодом і воєнні реалії, лише прискорили цифровізацію. Завдяки державним ініціативам на кшталт застосунку </w:t>
      </w:r>
      <w:r w:rsidRPr="007722A2">
        <w:rPr>
          <w:rFonts w:ascii="Times New Roman" w:hAnsi="Times New Roman" w:cs="Times New Roman"/>
          <w:sz w:val="28"/>
          <w:szCs w:val="28"/>
          <w:lang w:val="uk-UA"/>
        </w:rPr>
        <w:t>«Дія»</w:t>
      </w:r>
      <w:r w:rsidRPr="00B63D41">
        <w:rPr>
          <w:rFonts w:ascii="Times New Roman" w:hAnsi="Times New Roman" w:cs="Times New Roman"/>
          <w:sz w:val="28"/>
          <w:szCs w:val="28"/>
          <w:lang w:val="uk-UA"/>
        </w:rPr>
        <w:t>, віддалена ідентифікація клієнтів стала масовою практикою: відкриття рахунків, отримання кредитів чи депозитів тепер можливе без фізичної присутності. В результаті фінансові послуги стали доступними цілодобово та незалежно від місця знаходження клієнта, а конкуренція на ринку з боку фінтех-компаній посилилася. В умовах війни цифрові сервіси виявилися критично важливими – вони забезпечили безперервність платежів і доступ громадян до грошей навіть під час вимушеного переселення чи перебоїв у роботі відділень.</w:t>
      </w:r>
    </w:p>
    <w:p w14:paraId="550E1A18" w14:textId="0AB9E405" w:rsidR="009B44A7" w:rsidRPr="00B63D41" w:rsidRDefault="009B44A7" w:rsidP="00503D63">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Національний банк усіляко підтримує інновації. Створено спеціальний регуляторний майданчик </w:t>
      </w:r>
      <w:r w:rsidRPr="00503D63">
        <w:rPr>
          <w:rFonts w:ascii="Times New Roman" w:hAnsi="Times New Roman" w:cs="Times New Roman"/>
          <w:sz w:val="28"/>
          <w:szCs w:val="28"/>
          <w:lang w:val="uk-UA"/>
        </w:rPr>
        <w:t>Sandbox НБУ</w:t>
      </w:r>
      <w:r w:rsidRPr="00B63D41">
        <w:rPr>
          <w:rFonts w:ascii="Times New Roman" w:hAnsi="Times New Roman" w:cs="Times New Roman"/>
          <w:sz w:val="28"/>
          <w:szCs w:val="28"/>
          <w:lang w:val="uk-UA"/>
        </w:rPr>
        <w:t xml:space="preserve"> для тестування нових фінтех-рішень у пілотному режимі. За останні роки запроваджено регулювання новітніх напрямів FinTech – таких як InsurTech (цифрові рішення в страхуванні), WealthTech (технології управління капіталом), краудфандингові платформи та операції з віртуальними активами. Закон «Про платіжні послуги» (2021 р.) гармонізував українське платіжне законодавство з європейським (PSD2), що відкриває ринок для небанківських платіжних установ і впроваджує концепцію відкритого банкінгу. Такі кроки сприяють появі нових гравців і сервісів, зокрема небанківських платіжних застосунків, P2P-кредитування, онлайн-страхування тощо, розширюючи фінансову інклюзію.</w:t>
      </w:r>
    </w:p>
    <w:p w14:paraId="190BEBFA" w14:textId="3157BE27" w:rsidR="009B44A7" w:rsidRPr="00B63D41" w:rsidRDefault="009B44A7" w:rsidP="003A3D04">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lastRenderedPageBreak/>
        <w:t xml:space="preserve">Окремо варто відзначити проєкт </w:t>
      </w:r>
      <w:r w:rsidRPr="003A3D04">
        <w:rPr>
          <w:rFonts w:ascii="Times New Roman" w:hAnsi="Times New Roman" w:cs="Times New Roman"/>
          <w:sz w:val="28"/>
          <w:szCs w:val="28"/>
          <w:lang w:val="uk-UA"/>
        </w:rPr>
        <w:t>е-гривні</w:t>
      </w:r>
      <w:r w:rsidRPr="00B63D41">
        <w:rPr>
          <w:rFonts w:ascii="Times New Roman" w:hAnsi="Times New Roman" w:cs="Times New Roman"/>
          <w:sz w:val="28"/>
          <w:szCs w:val="28"/>
          <w:lang w:val="uk-UA"/>
        </w:rPr>
        <w:t xml:space="preserve"> – цифрової валюти Національного банку. Е-гривня розглядається як цифрова форма національної валюти (CBDC), яка буде законним платіжним засобом та існуватиме нарівні з готівкою і безготівковими коштами на рахунках. На відміну від грошей на банківських рахунках, е-гривня є прямим зобов’язанням центрального банку, тобто фактично «електронною готівкою». НБУ ще у 2018–2019 роках реалізував перший пілотний проєкт е-гривні, а у 2022 році представив оновлене бачення цього проєкту. Технологічною основою е-гривні має стати розподілений реєстр (DLT), що гарантуватиме прозорість і безпеку транзакцій.</w:t>
      </w:r>
    </w:p>
    <w:p w14:paraId="7968A6D1" w14:textId="3B2A8184" w:rsidR="009B44A7" w:rsidRPr="00B63D41" w:rsidRDefault="009B44A7" w:rsidP="003A3D04">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На кінець 2024 року НБУ анонсував масштабне </w:t>
      </w:r>
      <w:r w:rsidRPr="003A3D04">
        <w:rPr>
          <w:rFonts w:ascii="Times New Roman" w:hAnsi="Times New Roman" w:cs="Times New Roman"/>
          <w:sz w:val="28"/>
          <w:szCs w:val="28"/>
          <w:lang w:val="uk-UA"/>
        </w:rPr>
        <w:t>відкрите тестування е-гривні у 2025 році</w:t>
      </w:r>
      <w:r w:rsidRPr="00B63D41">
        <w:rPr>
          <w:rFonts w:ascii="Times New Roman" w:hAnsi="Times New Roman" w:cs="Times New Roman"/>
          <w:sz w:val="28"/>
          <w:szCs w:val="28"/>
          <w:lang w:val="uk-UA"/>
        </w:rPr>
        <w:t xml:space="preserve"> за участю всіх охочих користувачів та постачальників платіжних послуг. Метою пілоту є перевірка технологічної спроможності е-гривні виконувати функції грошей, задовольняти потреби користувачів і реалізувати такі унікальні властивості, як програмованість. Програмованість CBDC означає, що центральний банк може задавати певні умови використання цифрових грошей. Наприклад, соціальні виплати в е-гривні можна «прив’язати» до конкретних цілей (як це було реалізовано в програмі єПідтримка під час пандемії, коли кошти дозволялось витратити лише на визначені категорії товарів/послуг). Інший приклад – нарахування відсотка на залишок е-гривні або «спалювання» невикористаних коштів через певний час, що дає НБУ нові інструменти для стимулювання економічної активності.</w:t>
      </w:r>
    </w:p>
    <w:p w14:paraId="3ED48754" w14:textId="77777777" w:rsidR="009B44A7" w:rsidRPr="00B63D41" w:rsidRDefault="009B44A7" w:rsidP="003A3D04">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Успішне запровадження е-гривні може зробити Україну однією з небагатьох країн, що впровадили CBDC, і підтвердить репутацію лідера в цифрових фінансах. Фінтех-революція в Україні триває навіть під час війни – банки та фінтех-компанії активно впроваджують </w:t>
      </w:r>
      <w:r w:rsidRPr="003A3D04">
        <w:rPr>
          <w:rFonts w:ascii="Times New Roman" w:hAnsi="Times New Roman" w:cs="Times New Roman"/>
          <w:sz w:val="28"/>
          <w:szCs w:val="28"/>
          <w:lang w:val="uk-UA"/>
        </w:rPr>
        <w:t>безконтактні платежі, QR-розрахунки, токенізацію карток в смартфонах</w:t>
      </w:r>
      <w:r w:rsidRPr="00B63D41">
        <w:rPr>
          <w:rFonts w:ascii="Times New Roman" w:hAnsi="Times New Roman" w:cs="Times New Roman"/>
          <w:sz w:val="28"/>
          <w:szCs w:val="28"/>
          <w:lang w:val="uk-UA"/>
        </w:rPr>
        <w:t>, а уряд спільно з НБУ розробляє стратегії кібербезпеки фінансового сектору. Отже, технологічні інновації залишаються одним із ключових драйверів розвитку банківської системи, забезпечуючи підвищення ефективності, зручності та стійкості фінпослуг.</w:t>
      </w:r>
    </w:p>
    <w:p w14:paraId="0CC6D751" w14:textId="77777777" w:rsidR="003A3D04" w:rsidRDefault="003A3D04" w:rsidP="009B44A7">
      <w:pPr>
        <w:rPr>
          <w:rFonts w:ascii="Times New Roman" w:hAnsi="Times New Roman" w:cs="Times New Roman"/>
          <w:b/>
          <w:bCs/>
          <w:sz w:val="28"/>
          <w:szCs w:val="28"/>
          <w:lang w:val="uk-UA"/>
        </w:rPr>
      </w:pPr>
    </w:p>
    <w:p w14:paraId="3E5A6A67" w14:textId="77777777" w:rsidR="0077741A" w:rsidRDefault="0077741A" w:rsidP="009B44A7">
      <w:pPr>
        <w:rPr>
          <w:rFonts w:ascii="Times New Roman" w:hAnsi="Times New Roman" w:cs="Times New Roman"/>
          <w:b/>
          <w:bCs/>
          <w:sz w:val="28"/>
          <w:szCs w:val="28"/>
          <w:lang w:val="uk-UA"/>
        </w:rPr>
      </w:pPr>
    </w:p>
    <w:p w14:paraId="6FF1717C" w14:textId="77777777" w:rsidR="0077741A" w:rsidRPr="00815A00" w:rsidRDefault="0077741A" w:rsidP="009B44A7">
      <w:pPr>
        <w:rPr>
          <w:rFonts w:ascii="Times New Roman" w:hAnsi="Times New Roman" w:cs="Times New Roman"/>
          <w:b/>
          <w:bCs/>
          <w:sz w:val="28"/>
          <w:szCs w:val="28"/>
          <w:lang w:val="uk-UA"/>
        </w:rPr>
      </w:pPr>
    </w:p>
    <w:p w14:paraId="7A586E77" w14:textId="62D21AEE" w:rsidR="009B44A7" w:rsidRPr="00B63D41" w:rsidRDefault="009B44A7" w:rsidP="007E00EB">
      <w:pPr>
        <w:jc w:val="center"/>
        <w:rPr>
          <w:rFonts w:ascii="Times New Roman" w:hAnsi="Times New Roman" w:cs="Times New Roman"/>
          <w:b/>
          <w:bCs/>
          <w:sz w:val="28"/>
          <w:szCs w:val="28"/>
          <w:lang w:val="uk-UA"/>
        </w:rPr>
      </w:pPr>
      <w:r w:rsidRPr="00B63D41">
        <w:rPr>
          <w:rFonts w:ascii="Times New Roman" w:hAnsi="Times New Roman" w:cs="Times New Roman"/>
          <w:b/>
          <w:bCs/>
          <w:sz w:val="28"/>
          <w:szCs w:val="28"/>
          <w:lang w:val="uk-UA"/>
        </w:rPr>
        <w:lastRenderedPageBreak/>
        <w:t>Міжнародна інтеграція та валютна лібералізація</w:t>
      </w:r>
    </w:p>
    <w:p w14:paraId="2D92B9FA" w14:textId="1C9BA014" w:rsidR="009B44A7" w:rsidRPr="00B63D41" w:rsidRDefault="009B44A7" w:rsidP="007E00EB">
      <w:pPr>
        <w:ind w:firstLine="709"/>
        <w:jc w:val="both"/>
        <w:rPr>
          <w:rFonts w:ascii="Times New Roman" w:hAnsi="Times New Roman" w:cs="Times New Roman"/>
          <w:sz w:val="28"/>
          <w:szCs w:val="28"/>
          <w:lang w:val="uk-UA"/>
        </w:rPr>
      </w:pPr>
      <w:r w:rsidRPr="007E00EB">
        <w:rPr>
          <w:rFonts w:ascii="Times New Roman" w:hAnsi="Times New Roman" w:cs="Times New Roman"/>
          <w:i/>
          <w:iCs/>
          <w:sz w:val="28"/>
          <w:szCs w:val="28"/>
          <w:lang w:val="uk-UA"/>
        </w:rPr>
        <w:t>Європейська та світова інтеграція</w:t>
      </w:r>
      <w:r w:rsidRPr="00B63D41">
        <w:rPr>
          <w:rFonts w:ascii="Times New Roman" w:hAnsi="Times New Roman" w:cs="Times New Roman"/>
          <w:sz w:val="28"/>
          <w:szCs w:val="28"/>
          <w:lang w:val="uk-UA"/>
        </w:rPr>
        <w:t xml:space="preserve"> є важливим стратегічним напрямом розвитку української банківської системи. Набувши статусу кандидата в члени ЄС, Україна зобов’язалася імплементувати значний масив європейського фінансового законодавства. Банківський сектор має поступово досягти відповідності вимогам ЄС, що охоплює регламенти капіталу (CRR/CRD), правила боротьби з відмиванням коштів (AML), захист прав споживачів та інші норми. Особливу увагу регулятори приділяють імплементації найкращих світових практик у сфері нагляду і регулювання, врегулювання неплатоспроможності банків та виведення їх з ринку. Фактично пріоритетом на найближчі роки є набуття режиму внутрішнього ринку ЄС у сфері фінансових послуг, адже інтеграція у єдиний європейський ринок – спільна мета України та її партнерів. Така інтеграція відкриє нові можливості для українських банків: вихід на європейські ринки капіталу, співпрацю з європейськими фінансовими установами, залучення іноземних інвестицій у банківський сектор.</w:t>
      </w:r>
    </w:p>
    <w:p w14:paraId="70F57147" w14:textId="65118CAB" w:rsidR="009B44A7" w:rsidRPr="00B63D41" w:rsidRDefault="009B44A7" w:rsidP="007E00EB">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Важливу роль у підтримці України відіграють </w:t>
      </w:r>
      <w:r w:rsidRPr="007E00EB">
        <w:rPr>
          <w:rFonts w:ascii="Times New Roman" w:hAnsi="Times New Roman" w:cs="Times New Roman"/>
          <w:sz w:val="28"/>
          <w:szCs w:val="28"/>
          <w:lang w:val="uk-UA"/>
        </w:rPr>
        <w:t>міжнародні фінансові організації</w:t>
      </w:r>
      <w:r w:rsidRPr="00B63D41">
        <w:rPr>
          <w:rFonts w:ascii="Times New Roman" w:hAnsi="Times New Roman" w:cs="Times New Roman"/>
          <w:sz w:val="28"/>
          <w:szCs w:val="28"/>
          <w:lang w:val="uk-UA"/>
        </w:rPr>
        <w:t xml:space="preserve">, зокрема Міжнародний валютний фонд та Світовий банк. За останнє десятиліття МВФ реалізував кілька програм, які не лише надавали Україні життєво необхідне фінансування, але й ставили чіткі орієнтири реформ у фінансовому секторі. Так, програма stand-by 2015–2018 років включала вимогу очищення банківської системи від інсайдерських кредитів і докапіталізації банків, що було виконано (кульмінацією стала націоналізація ПриватБанку у 2016 році). Нова програма розширеного фінансування (EFF) 2023–2027 рр. прямо орієнтована на забезпечення макро-фінансової стабільності України під час війни та після неї. В її межах закріплено зобов’язання України продовжувати реформи, зокрема у банківському секторі: завершити впровадження міжнародних стандартів регулювання, підвищити ефективність управління державними банками, посилити незалежність НБУ та Фонду гарантування вкладів. Програма МВФ також ув’язана з порядком денним </w:t>
      </w:r>
      <w:r w:rsidRPr="007E00EB">
        <w:rPr>
          <w:rFonts w:ascii="Times New Roman" w:hAnsi="Times New Roman" w:cs="Times New Roman"/>
          <w:sz w:val="28"/>
          <w:szCs w:val="28"/>
          <w:lang w:val="uk-UA"/>
        </w:rPr>
        <w:t>євроінтеграції</w:t>
      </w:r>
      <w:r w:rsidRPr="00B63D41">
        <w:rPr>
          <w:rFonts w:ascii="Times New Roman" w:hAnsi="Times New Roman" w:cs="Times New Roman"/>
          <w:sz w:val="28"/>
          <w:szCs w:val="28"/>
          <w:lang w:val="uk-UA"/>
        </w:rPr>
        <w:t xml:space="preserve"> – очікується, що реформи в фінансовій сфері наблизять Україну до членства в ЄС та стимулюватимуть довгострокове зростання. Таким чином, роль МВФ нині виходить за рамки антикризової – Фонд став своєрідним "якорем" структурних змін і довіри інвесторів до української фінансової системи.</w:t>
      </w:r>
    </w:p>
    <w:p w14:paraId="1307993F" w14:textId="77777777" w:rsidR="009B44A7" w:rsidRPr="00B63D41" w:rsidRDefault="009B44A7" w:rsidP="007E00EB">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lastRenderedPageBreak/>
        <w:t xml:space="preserve">Одним із ключових напрямів інтеграції є </w:t>
      </w:r>
      <w:r w:rsidRPr="007E00EB">
        <w:rPr>
          <w:rFonts w:ascii="Times New Roman" w:hAnsi="Times New Roman" w:cs="Times New Roman"/>
          <w:sz w:val="28"/>
          <w:szCs w:val="28"/>
          <w:lang w:val="uk-UA"/>
        </w:rPr>
        <w:t>валютна лібералізація</w:t>
      </w:r>
      <w:r w:rsidRPr="00B63D41">
        <w:rPr>
          <w:rFonts w:ascii="Times New Roman" w:hAnsi="Times New Roman" w:cs="Times New Roman"/>
          <w:sz w:val="28"/>
          <w:szCs w:val="28"/>
          <w:lang w:val="uk-UA"/>
        </w:rPr>
        <w:t xml:space="preserve">. Історично український валютний ринок був досить зарегульованим, із множинними обмеженнями на операції. Ситуація почала змінюватися з ухваленням у 2018 році Закону «Про валюту і валютні операції», що набув чинності в лютому 2019 року. Цей закон запровадив принцип "дозволено все, що не заборонено" на валютному ринку та дав старт поетапному зняттю обмежень. До початку 2022 року Україна скасувала більшість адміністративних бар’єрів: фізособам дозволили інвестувати за кордон до 200 тис. євро на рік без індивідуальних ліцензій, компаніям – вільно репатріювати прибутки та дивіденди, було знято обмеження на продаж валюти банками населенню. НБУ планував у 2022–2023 рр. повністю перейти до вільного руху капіталу відповідно до угоди з ЄС. Однак війна змусила запровадити жорсткі </w:t>
      </w:r>
      <w:r w:rsidRPr="007E00EB">
        <w:rPr>
          <w:rFonts w:ascii="Times New Roman" w:hAnsi="Times New Roman" w:cs="Times New Roman"/>
          <w:sz w:val="28"/>
          <w:szCs w:val="28"/>
          <w:lang w:val="uk-UA"/>
        </w:rPr>
        <w:t>валютні обмеження</w:t>
      </w:r>
      <w:r w:rsidRPr="00B63D41">
        <w:rPr>
          <w:rFonts w:ascii="Times New Roman" w:hAnsi="Times New Roman" w:cs="Times New Roman"/>
          <w:sz w:val="28"/>
          <w:szCs w:val="28"/>
          <w:lang w:val="uk-UA"/>
        </w:rPr>
        <w:t>: з лютого 2022 року запроваджено фіксований курс, заборону на купівлю валюти для інвестицій і перекази за кордон (крім критичного імпорту), ліміт на зняття готівки за кордоном з гривневих рахунків тощо. Ці заходи були необхідними для захисту фінансової системи в екстремальних умовах, хоча й означали крок назад у лібералізації.</w:t>
      </w:r>
    </w:p>
    <w:p w14:paraId="258EC175" w14:textId="2AFA59DA" w:rsidR="009B44A7" w:rsidRPr="00B63D41" w:rsidRDefault="009B44A7" w:rsidP="007E00EB">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Протягом 2023–2024 років НБУ обережно </w:t>
      </w:r>
      <w:r w:rsidRPr="007E00EB">
        <w:rPr>
          <w:rFonts w:ascii="Times New Roman" w:hAnsi="Times New Roman" w:cs="Times New Roman"/>
          <w:sz w:val="28"/>
          <w:szCs w:val="28"/>
          <w:lang w:val="uk-UA"/>
        </w:rPr>
        <w:t>пом’якшує валютні обмеження</w:t>
      </w:r>
      <w:r w:rsidRPr="00B63D41">
        <w:rPr>
          <w:rFonts w:ascii="Times New Roman" w:hAnsi="Times New Roman" w:cs="Times New Roman"/>
          <w:sz w:val="28"/>
          <w:szCs w:val="28"/>
          <w:lang w:val="uk-UA"/>
        </w:rPr>
        <w:t xml:space="preserve"> у міру зміцнення макрофінансової ситуації. Пріоритет – підтримати експортно-імпортні операції та притік капіталу, не створюючи надлишкового тиску на валютний курс і резерви. Наприклад, у 2023 році бізнесу дозволили погашати зовнішні кредити, отримані після червня 2023, у повному обсязі (раніше такі платежі були заборонені). Також компанії отримали можливість сплачувати відсотки за старими зовнішніми боргами (за певними лімітами) та виплачувати дивіденди за кордон понад загальний місячний ліміт, якщо це потрібно для виконання зобов’язань за єврооблігаціями. Наприкінці 2024 року НБУ розширив перелік дозволених валютообмінних операцій для юридичних осіб (наприклад, дозволено ювелірним виробникам купувати банківські метали за безготівкову гривню). Усі ці кроки спрямовані на </w:t>
      </w:r>
      <w:r w:rsidRPr="007E00EB">
        <w:rPr>
          <w:rFonts w:ascii="Times New Roman" w:hAnsi="Times New Roman" w:cs="Times New Roman"/>
          <w:sz w:val="28"/>
          <w:szCs w:val="28"/>
          <w:lang w:val="uk-UA"/>
        </w:rPr>
        <w:t>поступову валютну лібералізацію</w:t>
      </w:r>
      <w:r w:rsidRPr="00B63D41">
        <w:rPr>
          <w:rFonts w:ascii="Times New Roman" w:hAnsi="Times New Roman" w:cs="Times New Roman"/>
          <w:sz w:val="28"/>
          <w:szCs w:val="28"/>
          <w:lang w:val="uk-UA"/>
        </w:rPr>
        <w:t xml:space="preserve"> без шкоди для курсової стабільності.</w:t>
      </w:r>
    </w:p>
    <w:p w14:paraId="70A0687D" w14:textId="6155BDDC" w:rsidR="009B44A7" w:rsidRPr="00B63D41" w:rsidRDefault="009B44A7" w:rsidP="007E00EB">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У середньостроковій перспективі, за умови сприятливої макроекономічної ситуації, стратегія розвитку фінансового сектору передбачає </w:t>
      </w:r>
      <w:r w:rsidRPr="007E00EB">
        <w:rPr>
          <w:rFonts w:ascii="Times New Roman" w:hAnsi="Times New Roman" w:cs="Times New Roman"/>
          <w:sz w:val="28"/>
          <w:szCs w:val="28"/>
          <w:lang w:val="uk-UA"/>
        </w:rPr>
        <w:t>повернення до плаваючого курсу гривні та повної конвертованості</w:t>
      </w:r>
      <w:r w:rsidRPr="00B63D41">
        <w:rPr>
          <w:rFonts w:ascii="Times New Roman" w:hAnsi="Times New Roman" w:cs="Times New Roman"/>
          <w:sz w:val="28"/>
          <w:szCs w:val="28"/>
          <w:lang w:val="uk-UA"/>
        </w:rPr>
        <w:t xml:space="preserve"> національної валюти. Це означає відновлення вільного </w:t>
      </w:r>
      <w:r w:rsidRPr="00B63D41">
        <w:rPr>
          <w:rFonts w:ascii="Times New Roman" w:hAnsi="Times New Roman" w:cs="Times New Roman"/>
          <w:sz w:val="28"/>
          <w:szCs w:val="28"/>
          <w:lang w:val="uk-UA"/>
        </w:rPr>
        <w:lastRenderedPageBreak/>
        <w:t>руху капіталу та інтеграцію України у світові фінансові ринки. Реалізація такого сценарію вимагатиме підтримки міжнародних партнерів (для підсилення резервів та страхування ризиків) і спирається на успіхи у стриманні інфляції. У результаті українські банки зможуть без обмежень проводити операції на світових ринках, а іноземні інвестори – вільно вкладати кошти в українські активи, що стане потужним імпульсом розвитку.</w:t>
      </w:r>
    </w:p>
    <w:p w14:paraId="54D56C16" w14:textId="31618D92" w:rsidR="009B44A7" w:rsidRPr="00B63D41" w:rsidRDefault="009B44A7" w:rsidP="007E00EB">
      <w:pPr>
        <w:jc w:val="center"/>
        <w:rPr>
          <w:rFonts w:ascii="Times New Roman" w:hAnsi="Times New Roman" w:cs="Times New Roman"/>
          <w:b/>
          <w:bCs/>
          <w:sz w:val="28"/>
          <w:szCs w:val="28"/>
          <w:lang w:val="uk-UA"/>
        </w:rPr>
      </w:pPr>
      <w:r w:rsidRPr="00B63D41">
        <w:rPr>
          <w:rFonts w:ascii="Times New Roman" w:hAnsi="Times New Roman" w:cs="Times New Roman"/>
          <w:b/>
          <w:bCs/>
          <w:sz w:val="28"/>
          <w:szCs w:val="28"/>
          <w:lang w:val="uk-UA"/>
        </w:rPr>
        <w:t>Пріоритети та ініціативи розвитку в умовах війни</w:t>
      </w:r>
    </w:p>
    <w:p w14:paraId="1AA05865" w14:textId="77777777" w:rsidR="009B44A7" w:rsidRPr="00B63D41" w:rsidRDefault="009B44A7" w:rsidP="007E00EB">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Повномасштабна війна стала безпрецедентним викликом для банківської системи України, проте вона також визначила нові пріоритети та стимулювала появу важливих ініціатив. В перші дні війни основним завданням було </w:t>
      </w:r>
      <w:r w:rsidRPr="007E00EB">
        <w:rPr>
          <w:rFonts w:ascii="Times New Roman" w:hAnsi="Times New Roman" w:cs="Times New Roman"/>
          <w:sz w:val="28"/>
          <w:szCs w:val="28"/>
          <w:lang w:val="uk-UA"/>
        </w:rPr>
        <w:t>забезпечити безперервну роботу</w:t>
      </w:r>
      <w:r w:rsidRPr="00B63D41">
        <w:rPr>
          <w:rFonts w:ascii="Times New Roman" w:hAnsi="Times New Roman" w:cs="Times New Roman"/>
          <w:sz w:val="28"/>
          <w:szCs w:val="28"/>
          <w:lang w:val="uk-UA"/>
        </w:rPr>
        <w:t xml:space="preserve"> банків: НБУ створив запас готівки і організував її підвезення в регіони, спростив вимоги до резервів, тимчасово призупинив ряд нормативів, запровадив кредитні канікули. Завдяки цьому банки навіть в найскладніший момент продовжували обслуговувати клієнтів, працювала система електронних платежів, громадяни мали доступ до своїх рахунків. Довіру населення вдалося зберегти – не було масового вилучення депозитів, як у попередні кризи. Навпаки, вже влітку 2022 року депозитний портфель у національній валюті почав зростати, частково завдяки державним гарантіям. У квітні 2022 р. законом запроваджено </w:t>
      </w:r>
      <w:r w:rsidRPr="007E00EB">
        <w:rPr>
          <w:rFonts w:ascii="Times New Roman" w:hAnsi="Times New Roman" w:cs="Times New Roman"/>
          <w:sz w:val="28"/>
          <w:szCs w:val="28"/>
          <w:lang w:val="uk-UA"/>
        </w:rPr>
        <w:t>100% гарантію вкладів фізичних осіб</w:t>
      </w:r>
      <w:r w:rsidRPr="00B63D41">
        <w:rPr>
          <w:rFonts w:ascii="Times New Roman" w:hAnsi="Times New Roman" w:cs="Times New Roman"/>
          <w:sz w:val="28"/>
          <w:szCs w:val="28"/>
          <w:lang w:val="uk-UA"/>
        </w:rPr>
        <w:t xml:space="preserve"> на період воєнного стану + 3 місяці після нього, а надалі постійна гарантована сума відшкодування зросте до 600 тис. грн (замість 200 тис. грн раніше). До Фонду гарантування вкладів приєднався державний Ощадбанк (який раніше мав окрему повну гарантію від держави). Ці кроки суттєво підвищили рівень захисту вкладників і запобігли паніці на початку війни.</w:t>
      </w:r>
    </w:p>
    <w:p w14:paraId="146BCA59" w14:textId="77777777" w:rsidR="009B44A7" w:rsidRPr="00B63D41" w:rsidRDefault="009B44A7" w:rsidP="007E00EB">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На другому етапі – у 2023 році – увага змістилася на </w:t>
      </w:r>
      <w:r w:rsidRPr="007E00EB">
        <w:rPr>
          <w:rFonts w:ascii="Times New Roman" w:hAnsi="Times New Roman" w:cs="Times New Roman"/>
          <w:sz w:val="28"/>
          <w:szCs w:val="28"/>
          <w:lang w:val="uk-UA"/>
        </w:rPr>
        <w:t>підтримку кредитування та економічного відновлення</w:t>
      </w:r>
      <w:r w:rsidRPr="00B63D41">
        <w:rPr>
          <w:rFonts w:ascii="Times New Roman" w:hAnsi="Times New Roman" w:cs="Times New Roman"/>
          <w:sz w:val="28"/>
          <w:szCs w:val="28"/>
          <w:lang w:val="uk-UA"/>
        </w:rPr>
        <w:t xml:space="preserve"> навіть у воєнних умовах. Уряд та НБУ розгорнули програми стимулювання кредитів бізнесу. Зокрема, програма пільгових кредитів «5-7-9%» була розширена: держава частково компенсує відсоткові ставки, аби малі та середні підприємства могли отримати фінансування для відновлення діяльності або релокації. Банки активніше кредитують під державні гарантії (портфельні гарантії забезпечують до 80% суми кредиту), що знижує для них ризики неповернення. Пріоритетними галузями кредитування стали агросектор, переробна промисловість, енергетика – ті сфери, що критично важливі для </w:t>
      </w:r>
      <w:r w:rsidRPr="00B63D41">
        <w:rPr>
          <w:rFonts w:ascii="Times New Roman" w:hAnsi="Times New Roman" w:cs="Times New Roman"/>
          <w:sz w:val="28"/>
          <w:szCs w:val="28"/>
          <w:lang w:val="uk-UA"/>
        </w:rPr>
        <w:lastRenderedPageBreak/>
        <w:t>економіки в умовах війни. Хоча загальний рівень кредитної активності залишається помірним, спостерігається тенденція до поступового нарощення корпоративного кредитування у гривні. Важливим завданням є також підтримка іпотечного кредитування: НБУ спільно з урядом працює над програмами доступної іпотеки для ветеранів та ВПО, що стане поштовхом для будівельного сектора.</w:t>
      </w:r>
    </w:p>
    <w:p w14:paraId="063E7FE4" w14:textId="7987D96E" w:rsidR="009B44A7" w:rsidRPr="00B63D41" w:rsidRDefault="009B44A7" w:rsidP="007E00EB">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Визначальним документом, що окреслює пріоритети розвитку фінансового сектору під час війни і після неї, стала </w:t>
      </w:r>
      <w:r w:rsidRPr="007E00EB">
        <w:rPr>
          <w:rFonts w:ascii="Times New Roman" w:hAnsi="Times New Roman" w:cs="Times New Roman"/>
          <w:sz w:val="28"/>
          <w:szCs w:val="28"/>
          <w:lang w:val="uk-UA"/>
        </w:rPr>
        <w:t>оновлена Стратегія розвитку фінансового сектору до 2025 року</w:t>
      </w:r>
      <w:r w:rsidRPr="00B63D41">
        <w:rPr>
          <w:rFonts w:ascii="Times New Roman" w:hAnsi="Times New Roman" w:cs="Times New Roman"/>
          <w:sz w:val="28"/>
          <w:szCs w:val="28"/>
          <w:lang w:val="uk-UA"/>
        </w:rPr>
        <w:t xml:space="preserve"> (затверджена в серпні 2023 р.). Ця стратегія сфокусована на протидії російській агресії та повоєнному відновленні країни. Спільні дії НБУ, Міністерства фінансів, НКЦПФР та ФГВФО спрямовані на досягнення п’яти стратегічних цілей:</w:t>
      </w:r>
    </w:p>
    <w:p w14:paraId="26BD1337" w14:textId="77777777" w:rsidR="009B44A7" w:rsidRPr="00B63D41" w:rsidRDefault="009B44A7" w:rsidP="007E00EB">
      <w:pPr>
        <w:numPr>
          <w:ilvl w:val="0"/>
          <w:numId w:val="18"/>
        </w:numPr>
        <w:jc w:val="both"/>
        <w:rPr>
          <w:rFonts w:ascii="Times New Roman" w:hAnsi="Times New Roman" w:cs="Times New Roman"/>
          <w:sz w:val="28"/>
          <w:szCs w:val="28"/>
          <w:lang w:val="uk-UA"/>
        </w:rPr>
      </w:pPr>
      <w:r w:rsidRPr="007E00EB">
        <w:rPr>
          <w:rFonts w:ascii="Times New Roman" w:hAnsi="Times New Roman" w:cs="Times New Roman"/>
          <w:i/>
          <w:iCs/>
          <w:sz w:val="28"/>
          <w:szCs w:val="28"/>
          <w:lang w:val="uk-UA"/>
        </w:rPr>
        <w:t xml:space="preserve">Макроекономічна стабільність – </w:t>
      </w:r>
      <w:r w:rsidRPr="00B63D41">
        <w:rPr>
          <w:rFonts w:ascii="Times New Roman" w:hAnsi="Times New Roman" w:cs="Times New Roman"/>
          <w:sz w:val="28"/>
          <w:szCs w:val="28"/>
          <w:lang w:val="uk-UA"/>
        </w:rPr>
        <w:t>підтримання помірної інфляції, стійкості державних фінансів і зовнішньої рівноваги.</w:t>
      </w:r>
    </w:p>
    <w:p w14:paraId="3E96E019" w14:textId="77777777" w:rsidR="009B44A7" w:rsidRPr="00B63D41" w:rsidRDefault="009B44A7" w:rsidP="007E00EB">
      <w:pPr>
        <w:numPr>
          <w:ilvl w:val="0"/>
          <w:numId w:val="18"/>
        </w:numPr>
        <w:jc w:val="both"/>
        <w:rPr>
          <w:rFonts w:ascii="Times New Roman" w:hAnsi="Times New Roman" w:cs="Times New Roman"/>
          <w:sz w:val="28"/>
          <w:szCs w:val="28"/>
          <w:lang w:val="uk-UA"/>
        </w:rPr>
      </w:pPr>
      <w:r w:rsidRPr="007E00EB">
        <w:rPr>
          <w:rFonts w:ascii="Times New Roman" w:hAnsi="Times New Roman" w:cs="Times New Roman"/>
          <w:i/>
          <w:iCs/>
          <w:sz w:val="28"/>
          <w:szCs w:val="28"/>
          <w:lang w:val="uk-UA"/>
        </w:rPr>
        <w:t>Фінансова стабільність –</w:t>
      </w:r>
      <w:r w:rsidRPr="00B63D41">
        <w:rPr>
          <w:rFonts w:ascii="Times New Roman" w:hAnsi="Times New Roman" w:cs="Times New Roman"/>
          <w:sz w:val="28"/>
          <w:szCs w:val="28"/>
          <w:lang w:val="uk-UA"/>
        </w:rPr>
        <w:t xml:space="preserve"> забезпечення стійкості банків та небанківських фінансових установ, достатності їх капіталу і ліквідності.</w:t>
      </w:r>
    </w:p>
    <w:p w14:paraId="3D2004FC" w14:textId="77777777" w:rsidR="009B44A7" w:rsidRPr="00B63D41" w:rsidRDefault="009B44A7" w:rsidP="007E00EB">
      <w:pPr>
        <w:numPr>
          <w:ilvl w:val="0"/>
          <w:numId w:val="18"/>
        </w:numPr>
        <w:jc w:val="both"/>
        <w:rPr>
          <w:rFonts w:ascii="Times New Roman" w:hAnsi="Times New Roman" w:cs="Times New Roman"/>
          <w:sz w:val="28"/>
          <w:szCs w:val="28"/>
          <w:lang w:val="uk-UA"/>
        </w:rPr>
      </w:pPr>
      <w:r w:rsidRPr="007E00EB">
        <w:rPr>
          <w:rFonts w:ascii="Times New Roman" w:hAnsi="Times New Roman" w:cs="Times New Roman"/>
          <w:i/>
          <w:iCs/>
          <w:sz w:val="28"/>
          <w:szCs w:val="28"/>
          <w:lang w:val="uk-UA"/>
        </w:rPr>
        <w:t>Фінансова система працює на відновлення країни –</w:t>
      </w:r>
      <w:r w:rsidRPr="00B63D41">
        <w:rPr>
          <w:rFonts w:ascii="Times New Roman" w:hAnsi="Times New Roman" w:cs="Times New Roman"/>
          <w:sz w:val="28"/>
          <w:szCs w:val="28"/>
          <w:lang w:val="uk-UA"/>
        </w:rPr>
        <w:t xml:space="preserve"> спрямування ресурсів банків на кредитування відбудови економіки, підтримку бізнесу та інфраструктури.</w:t>
      </w:r>
    </w:p>
    <w:p w14:paraId="106C1297" w14:textId="77777777" w:rsidR="009B44A7" w:rsidRPr="00B63D41" w:rsidRDefault="009B44A7" w:rsidP="007E00EB">
      <w:pPr>
        <w:numPr>
          <w:ilvl w:val="0"/>
          <w:numId w:val="18"/>
        </w:numPr>
        <w:jc w:val="both"/>
        <w:rPr>
          <w:rFonts w:ascii="Times New Roman" w:hAnsi="Times New Roman" w:cs="Times New Roman"/>
          <w:sz w:val="28"/>
          <w:szCs w:val="28"/>
          <w:lang w:val="uk-UA"/>
        </w:rPr>
      </w:pPr>
      <w:r w:rsidRPr="007E00EB">
        <w:rPr>
          <w:rFonts w:ascii="Times New Roman" w:hAnsi="Times New Roman" w:cs="Times New Roman"/>
          <w:i/>
          <w:iCs/>
          <w:sz w:val="28"/>
          <w:szCs w:val="28"/>
          <w:lang w:val="uk-UA"/>
        </w:rPr>
        <w:t>Сучасні фінансові послуги –</w:t>
      </w:r>
      <w:r w:rsidRPr="00B63D41">
        <w:rPr>
          <w:rFonts w:ascii="Times New Roman" w:hAnsi="Times New Roman" w:cs="Times New Roman"/>
          <w:sz w:val="28"/>
          <w:szCs w:val="28"/>
          <w:lang w:val="uk-UA"/>
        </w:rPr>
        <w:t xml:space="preserve"> цифровізація, інновації та розширення фінансової інклюзії, доступність послуг 24/7, кібербезпека.</w:t>
      </w:r>
    </w:p>
    <w:p w14:paraId="1D11D292" w14:textId="5D867948" w:rsidR="009B44A7" w:rsidRPr="00B63D41" w:rsidRDefault="009B44A7" w:rsidP="007E00EB">
      <w:pPr>
        <w:numPr>
          <w:ilvl w:val="0"/>
          <w:numId w:val="18"/>
        </w:numPr>
        <w:jc w:val="both"/>
        <w:rPr>
          <w:rFonts w:ascii="Times New Roman" w:hAnsi="Times New Roman" w:cs="Times New Roman"/>
          <w:sz w:val="28"/>
          <w:szCs w:val="28"/>
          <w:lang w:val="uk-UA"/>
        </w:rPr>
      </w:pPr>
      <w:r w:rsidRPr="007E00EB">
        <w:rPr>
          <w:rFonts w:ascii="Times New Roman" w:hAnsi="Times New Roman" w:cs="Times New Roman"/>
          <w:i/>
          <w:iCs/>
          <w:sz w:val="28"/>
          <w:szCs w:val="28"/>
          <w:lang w:val="uk-UA"/>
        </w:rPr>
        <w:t>Інституційна спроможність регуляторів та ФГВФО –</w:t>
      </w:r>
      <w:r w:rsidRPr="00B63D41">
        <w:rPr>
          <w:rFonts w:ascii="Times New Roman" w:hAnsi="Times New Roman" w:cs="Times New Roman"/>
          <w:sz w:val="28"/>
          <w:szCs w:val="28"/>
          <w:lang w:val="uk-UA"/>
        </w:rPr>
        <w:t xml:space="preserve"> зміцнення незалежності та ефективності фінансових регуляторів, реформування державних банків, підвищення можливостей Фонду гарантування.</w:t>
      </w:r>
    </w:p>
    <w:p w14:paraId="4FC7E8DB" w14:textId="0BA7E07A" w:rsidR="009B44A7" w:rsidRPr="00B63D41" w:rsidRDefault="009B44A7" w:rsidP="007E00EB">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Для реалізації цих цілей Стратегія передбачає конкретні заходи. У короткостроковому плані пріоритет – </w:t>
      </w:r>
      <w:r w:rsidRPr="007E00EB">
        <w:rPr>
          <w:rFonts w:ascii="Times New Roman" w:hAnsi="Times New Roman" w:cs="Times New Roman"/>
          <w:sz w:val="28"/>
          <w:szCs w:val="28"/>
          <w:lang w:val="uk-UA"/>
        </w:rPr>
        <w:t>стабілізація</w:t>
      </w:r>
      <w:r w:rsidRPr="00B63D41">
        <w:rPr>
          <w:rFonts w:ascii="Times New Roman" w:hAnsi="Times New Roman" w:cs="Times New Roman"/>
          <w:sz w:val="28"/>
          <w:szCs w:val="28"/>
          <w:lang w:val="uk-UA"/>
        </w:rPr>
        <w:t xml:space="preserve"> і недопущення погіршення ситуації, тобто збереження дієздатності фінансової системи в умовах війни. Це включає поступове згортання надзвичайних пруденційних заходів (тих самих воєнних послаблень нормативів) у безпечний спосіб, одночасно з відновленням стандартних вимог до капіталу і ліквідності. Важливим кроком є проведена діагностика банківських активів та </w:t>
      </w:r>
      <w:r w:rsidRPr="007E00EB">
        <w:rPr>
          <w:rFonts w:ascii="Times New Roman" w:hAnsi="Times New Roman" w:cs="Times New Roman"/>
          <w:sz w:val="28"/>
          <w:szCs w:val="28"/>
          <w:lang w:val="uk-UA"/>
        </w:rPr>
        <w:t>моніторинг непрацюючих кредитів</w:t>
      </w:r>
      <w:r w:rsidRPr="00B63D41">
        <w:rPr>
          <w:rFonts w:ascii="Times New Roman" w:hAnsi="Times New Roman" w:cs="Times New Roman"/>
          <w:sz w:val="28"/>
          <w:szCs w:val="28"/>
          <w:lang w:val="uk-UA"/>
        </w:rPr>
        <w:t xml:space="preserve">, аби чітко оцінити збитки та окреслити шляхи їх покриття. Планується створення комплексної системи </w:t>
      </w:r>
      <w:r w:rsidRPr="00B63D41">
        <w:rPr>
          <w:rFonts w:ascii="Times New Roman" w:hAnsi="Times New Roman" w:cs="Times New Roman"/>
          <w:sz w:val="28"/>
          <w:szCs w:val="28"/>
          <w:lang w:val="uk-UA"/>
        </w:rPr>
        <w:lastRenderedPageBreak/>
        <w:t xml:space="preserve">оздоровлення банків – вдосконалення механізмів </w:t>
      </w:r>
      <w:r w:rsidRPr="007E00EB">
        <w:rPr>
          <w:rFonts w:ascii="Times New Roman" w:hAnsi="Times New Roman" w:cs="Times New Roman"/>
          <w:sz w:val="28"/>
          <w:szCs w:val="28"/>
          <w:lang w:val="uk-UA"/>
        </w:rPr>
        <w:t>виведення з ринку неплатоспроможних установ</w:t>
      </w:r>
      <w:r w:rsidRPr="00B63D41">
        <w:rPr>
          <w:rFonts w:ascii="Times New Roman" w:hAnsi="Times New Roman" w:cs="Times New Roman"/>
          <w:sz w:val="28"/>
          <w:szCs w:val="28"/>
          <w:lang w:val="uk-UA"/>
        </w:rPr>
        <w:t>, впровадження системи раннього реагування на проблеми банків, аби запобігти кризам у майбутньому.</w:t>
      </w:r>
    </w:p>
    <w:p w14:paraId="433CEDC7" w14:textId="1CDA0567" w:rsidR="009B44A7" w:rsidRPr="00B63D41" w:rsidRDefault="009B44A7" w:rsidP="007E00EB">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У середньостроковій перспективі акцент зміститься на заходи для </w:t>
      </w:r>
      <w:r w:rsidRPr="007E00EB">
        <w:rPr>
          <w:rFonts w:ascii="Times New Roman" w:hAnsi="Times New Roman" w:cs="Times New Roman"/>
          <w:sz w:val="28"/>
          <w:szCs w:val="28"/>
          <w:lang w:val="uk-UA"/>
        </w:rPr>
        <w:t>відбудови та зростання економіки</w:t>
      </w:r>
      <w:r w:rsidRPr="00B63D41">
        <w:rPr>
          <w:rFonts w:ascii="Times New Roman" w:hAnsi="Times New Roman" w:cs="Times New Roman"/>
          <w:sz w:val="28"/>
          <w:szCs w:val="28"/>
          <w:lang w:val="uk-UA"/>
        </w:rPr>
        <w:t xml:space="preserve">. Це означає, що фінансовий сектор має стати драйвером відновлення: мобілізувати внутрішні заощадження на потреби відбудови, ефективно розподіляти міжнародну фінансову допомогу та інвестиції, забезпечувати кредитування пріоритетних проектів. Одночасно регулятори працюватимуть над поверненням монетарної політики до нормального стану (таргетування інфляції, плаваючий курс) і </w:t>
      </w:r>
      <w:r w:rsidRPr="007E00EB">
        <w:rPr>
          <w:rFonts w:ascii="Times New Roman" w:hAnsi="Times New Roman" w:cs="Times New Roman"/>
          <w:sz w:val="28"/>
          <w:szCs w:val="28"/>
          <w:lang w:val="uk-UA"/>
        </w:rPr>
        <w:t>лібералізацією фінансових ринків</w:t>
      </w:r>
      <w:r w:rsidRPr="00B63D41">
        <w:rPr>
          <w:rFonts w:ascii="Times New Roman" w:hAnsi="Times New Roman" w:cs="Times New Roman"/>
          <w:sz w:val="28"/>
          <w:szCs w:val="28"/>
          <w:lang w:val="uk-UA"/>
        </w:rPr>
        <w:t xml:space="preserve">, щойно для цього складуться стійкі макроумови. Не менш важливим є технологічний розвиток: навіть під час війни фінансові послуги мають ставати більш </w:t>
      </w:r>
      <w:r w:rsidRPr="007E00EB">
        <w:rPr>
          <w:rFonts w:ascii="Times New Roman" w:hAnsi="Times New Roman" w:cs="Times New Roman"/>
          <w:sz w:val="28"/>
          <w:szCs w:val="28"/>
          <w:lang w:val="uk-UA"/>
        </w:rPr>
        <w:t>доступними та інклюзивними</w:t>
      </w:r>
      <w:r w:rsidRPr="00B63D41">
        <w:rPr>
          <w:rFonts w:ascii="Times New Roman" w:hAnsi="Times New Roman" w:cs="Times New Roman"/>
          <w:sz w:val="28"/>
          <w:szCs w:val="28"/>
          <w:lang w:val="uk-UA"/>
        </w:rPr>
        <w:t>, зокрема на деокупованих територіях, де потрібно відновити відділення банків, банкоматну мережу, зв’язок та інше. Стратегія підкреслює, що кібербезпека та безбар’єрність фінпослуг (для різних верств населення) теж залишаються серед пріоритетів відновлення.</w:t>
      </w:r>
    </w:p>
    <w:p w14:paraId="137ACB6E" w14:textId="77777777" w:rsidR="009B44A7" w:rsidRPr="00B63D41" w:rsidRDefault="009B44A7" w:rsidP="007E00EB">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Отже, попри воєнні потрясіння, банківська система України не лише вистояла, а й окреслила для себе чіткий шлях подальшого розвитку. Ініціативи НБУ та уряду в 2024–2025 роках спрямовані на </w:t>
      </w:r>
      <w:r w:rsidRPr="007E00EB">
        <w:rPr>
          <w:rFonts w:ascii="Times New Roman" w:hAnsi="Times New Roman" w:cs="Times New Roman"/>
          <w:sz w:val="28"/>
          <w:szCs w:val="28"/>
          <w:lang w:val="uk-UA"/>
        </w:rPr>
        <w:t>поєднання стабільності і розвитку</w:t>
      </w:r>
      <w:r w:rsidRPr="00B63D41">
        <w:rPr>
          <w:rFonts w:ascii="Times New Roman" w:hAnsi="Times New Roman" w:cs="Times New Roman"/>
          <w:sz w:val="28"/>
          <w:szCs w:val="28"/>
          <w:lang w:val="uk-UA"/>
        </w:rPr>
        <w:t>: з одного боку, підтримувати стійкість банків тут і зараз, з іншого – закладати підґрунтя для майбутнього економічного підйому. Реалізація цих пріоритетів вимагатиме тісної координації з міжнародними партнерами, гнучкості у реагуванні на виклики та послідовності реформ – від корпоративного управління в банках державного сектору до впровадження нових фінансових інструментів на ринку.</w:t>
      </w:r>
    </w:p>
    <w:p w14:paraId="68DAF028" w14:textId="5A7289E0" w:rsidR="009B44A7" w:rsidRPr="00B63D41" w:rsidRDefault="009B44A7" w:rsidP="007E00EB">
      <w:pPr>
        <w:jc w:val="center"/>
        <w:rPr>
          <w:rFonts w:ascii="Times New Roman" w:hAnsi="Times New Roman" w:cs="Times New Roman"/>
          <w:b/>
          <w:bCs/>
          <w:sz w:val="28"/>
          <w:szCs w:val="28"/>
          <w:lang w:val="uk-UA"/>
        </w:rPr>
      </w:pPr>
      <w:r w:rsidRPr="00B63D41">
        <w:rPr>
          <w:rFonts w:ascii="Times New Roman" w:hAnsi="Times New Roman" w:cs="Times New Roman"/>
          <w:b/>
          <w:bCs/>
          <w:sz w:val="28"/>
          <w:szCs w:val="28"/>
          <w:lang w:val="uk-UA"/>
        </w:rPr>
        <w:t>Сценарії розвитку у воєнний та післявоєнний періоди</w:t>
      </w:r>
    </w:p>
    <w:p w14:paraId="323C2D63" w14:textId="54EEA934" w:rsidR="009B44A7" w:rsidRPr="00B63D41" w:rsidRDefault="009B44A7" w:rsidP="007E00EB">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Майбутнє банківської системи України багато в чому залежатиме від розвитку подій на фронті та успішності повоєнного відновлення. Експерти розглядають декілька можливих сценаріїв розвитку ситуації:</w:t>
      </w:r>
    </w:p>
    <w:p w14:paraId="49A5F64C" w14:textId="029BF20A" w:rsidR="009B44A7" w:rsidRPr="00B63D41" w:rsidRDefault="009B44A7" w:rsidP="007E00EB">
      <w:pPr>
        <w:ind w:firstLine="709"/>
        <w:jc w:val="both"/>
        <w:rPr>
          <w:rFonts w:ascii="Times New Roman" w:hAnsi="Times New Roman" w:cs="Times New Roman"/>
          <w:sz w:val="28"/>
          <w:szCs w:val="28"/>
          <w:lang w:val="uk-UA"/>
        </w:rPr>
      </w:pPr>
      <w:r w:rsidRPr="007E00EB">
        <w:rPr>
          <w:rFonts w:ascii="Times New Roman" w:hAnsi="Times New Roman" w:cs="Times New Roman"/>
          <w:i/>
          <w:iCs/>
          <w:sz w:val="28"/>
          <w:szCs w:val="28"/>
          <w:lang w:val="uk-UA"/>
        </w:rPr>
        <w:t>Оптимістичний сценарій</w:t>
      </w:r>
      <w:r w:rsidR="007E00EB" w:rsidRPr="007E00EB">
        <w:rPr>
          <w:rFonts w:ascii="Times New Roman" w:hAnsi="Times New Roman" w:cs="Times New Roman"/>
          <w:i/>
          <w:iCs/>
          <w:sz w:val="28"/>
          <w:szCs w:val="28"/>
          <w:lang w:val="uk-UA"/>
        </w:rPr>
        <w:t>:</w:t>
      </w:r>
      <w:r w:rsidRPr="00B63D41">
        <w:rPr>
          <w:rFonts w:ascii="Times New Roman" w:hAnsi="Times New Roman" w:cs="Times New Roman"/>
          <w:sz w:val="28"/>
          <w:szCs w:val="28"/>
          <w:lang w:val="uk-UA"/>
        </w:rPr>
        <w:t xml:space="preserve"> </w:t>
      </w:r>
      <w:r w:rsidR="007E00EB">
        <w:rPr>
          <w:rFonts w:ascii="Times New Roman" w:hAnsi="Times New Roman" w:cs="Times New Roman"/>
          <w:sz w:val="28"/>
          <w:szCs w:val="28"/>
          <w:lang w:val="uk-UA"/>
        </w:rPr>
        <w:t>у</w:t>
      </w:r>
      <w:r w:rsidRPr="00B63D41">
        <w:rPr>
          <w:rFonts w:ascii="Times New Roman" w:hAnsi="Times New Roman" w:cs="Times New Roman"/>
          <w:sz w:val="28"/>
          <w:szCs w:val="28"/>
          <w:lang w:val="uk-UA"/>
        </w:rPr>
        <w:t xml:space="preserve"> цьому варіанті активні бойові дії завершуються відносно швидко, вже у короткостроковій перспективі. Повоєнне відновлення проходить за масованої підтримки міжнародних партнерів – Україна отримує значні інвестиції, гранти та допомогу на </w:t>
      </w:r>
      <w:r w:rsidRPr="00B63D41">
        <w:rPr>
          <w:rFonts w:ascii="Times New Roman" w:hAnsi="Times New Roman" w:cs="Times New Roman"/>
          <w:sz w:val="28"/>
          <w:szCs w:val="28"/>
          <w:lang w:val="uk-UA"/>
        </w:rPr>
        <w:lastRenderedPageBreak/>
        <w:t xml:space="preserve">реконструкцію інфраструктури. На внутрішньому рівні вдається швидко реалізувати ключові реформи, зміцнити верховенство права та привабити приватний капітал. Банківська система в оптимістичному сценарії відчуває приплив ресурсів: зростає депозитна база (у тому числі за рахунок повернення капіталів українських біженців), розширюється кредитування бізнесу і населення для відбудови житла, підприємств. Якість активів поліпшується завдяки економічному зростанню, а проблемні борги, що утворилися за час війни, успішно </w:t>
      </w:r>
      <w:r w:rsidR="0077741A" w:rsidRPr="00B63D41">
        <w:rPr>
          <w:rFonts w:ascii="Times New Roman" w:hAnsi="Times New Roman" w:cs="Times New Roman"/>
          <w:sz w:val="28"/>
          <w:szCs w:val="28"/>
          <w:lang w:val="uk-UA"/>
        </w:rPr>
        <w:t>реструктуруються</w:t>
      </w:r>
      <w:r w:rsidRPr="00B63D41">
        <w:rPr>
          <w:rFonts w:ascii="Times New Roman" w:hAnsi="Times New Roman" w:cs="Times New Roman"/>
          <w:sz w:val="28"/>
          <w:szCs w:val="28"/>
          <w:lang w:val="uk-UA"/>
        </w:rPr>
        <w:t xml:space="preserve">. Держава поступово виходить з капіталу націоналізованих банків (можлива приватизація ПриватБанку та Ощадбанку), приходять стратегічні інвестори зі світовим ім’ям. Інтеграція в ЄС набирає обертів: українські банки отримують доступ до європейського ринку, виконують усі </w:t>
      </w:r>
      <w:r w:rsidRPr="007E00EB">
        <w:rPr>
          <w:rFonts w:ascii="Times New Roman" w:hAnsi="Times New Roman" w:cs="Times New Roman"/>
          <w:sz w:val="28"/>
          <w:szCs w:val="28"/>
          <w:lang w:val="uk-UA"/>
        </w:rPr>
        <w:t>євростандарти</w:t>
      </w:r>
      <w:r w:rsidRPr="00B63D41">
        <w:rPr>
          <w:rFonts w:ascii="Times New Roman" w:hAnsi="Times New Roman" w:cs="Times New Roman"/>
          <w:sz w:val="28"/>
          <w:szCs w:val="28"/>
          <w:lang w:val="uk-UA"/>
        </w:rPr>
        <w:t xml:space="preserve"> і входять до спільного європейського фінансового простору. У підсумку, оптимістичний сценарій означає трансформацію банківської системи на сучасну, стійку та конкурентну, що є рушієм економічного прориву.</w:t>
      </w:r>
    </w:p>
    <w:p w14:paraId="7EE69873" w14:textId="7F9F033F" w:rsidR="009B44A7" w:rsidRPr="00B63D41" w:rsidRDefault="009B44A7" w:rsidP="007E00EB">
      <w:pPr>
        <w:ind w:firstLine="709"/>
        <w:jc w:val="both"/>
        <w:rPr>
          <w:rFonts w:ascii="Times New Roman" w:hAnsi="Times New Roman" w:cs="Times New Roman"/>
          <w:sz w:val="28"/>
          <w:szCs w:val="28"/>
          <w:lang w:val="uk-UA"/>
        </w:rPr>
      </w:pPr>
      <w:r w:rsidRPr="007E00EB">
        <w:rPr>
          <w:rFonts w:ascii="Times New Roman" w:hAnsi="Times New Roman" w:cs="Times New Roman"/>
          <w:i/>
          <w:iCs/>
          <w:sz w:val="28"/>
          <w:szCs w:val="28"/>
          <w:lang w:val="uk-UA"/>
        </w:rPr>
        <w:t>Песимістичний сценарій</w:t>
      </w:r>
      <w:r w:rsidR="007E00EB">
        <w:rPr>
          <w:rFonts w:ascii="Times New Roman" w:hAnsi="Times New Roman" w:cs="Times New Roman"/>
          <w:i/>
          <w:iCs/>
          <w:sz w:val="28"/>
          <w:szCs w:val="28"/>
          <w:lang w:val="uk-UA"/>
        </w:rPr>
        <w:t>:</w:t>
      </w:r>
      <w:r w:rsidRPr="00B63D41">
        <w:rPr>
          <w:rFonts w:ascii="Times New Roman" w:hAnsi="Times New Roman" w:cs="Times New Roman"/>
          <w:sz w:val="28"/>
          <w:szCs w:val="28"/>
          <w:lang w:val="uk-UA"/>
        </w:rPr>
        <w:t xml:space="preserve"> </w:t>
      </w:r>
      <w:r w:rsidR="007E00EB">
        <w:rPr>
          <w:rFonts w:ascii="Times New Roman" w:hAnsi="Times New Roman" w:cs="Times New Roman"/>
          <w:sz w:val="28"/>
          <w:szCs w:val="28"/>
          <w:lang w:val="uk-UA"/>
        </w:rPr>
        <w:t>п</w:t>
      </w:r>
      <w:r w:rsidRPr="00B63D41">
        <w:rPr>
          <w:rFonts w:ascii="Times New Roman" w:hAnsi="Times New Roman" w:cs="Times New Roman"/>
          <w:sz w:val="28"/>
          <w:szCs w:val="28"/>
          <w:lang w:val="uk-UA"/>
        </w:rPr>
        <w:t xml:space="preserve">ередбачає затяжну війну або тривалу нестабільність навіть після її завершення. У разі продовження бойових дій протягом кількох років економіка зазнає виснаження, обсяги міжнародної підтримки можуть не покривати всіх потреб. Політичні та економічні труднощі уповільнюють реформи, інвестиційний клімат залишається складним. Для банківської системи песимістичний сценарій означає підвищені ризики: росте кількість </w:t>
      </w:r>
      <w:r w:rsidRPr="007E00EB">
        <w:rPr>
          <w:rFonts w:ascii="Times New Roman" w:hAnsi="Times New Roman" w:cs="Times New Roman"/>
          <w:sz w:val="28"/>
          <w:szCs w:val="28"/>
          <w:lang w:val="uk-UA"/>
        </w:rPr>
        <w:t>неплатоспроможних позичальників</w:t>
      </w:r>
      <w:r w:rsidRPr="00B63D41">
        <w:rPr>
          <w:rFonts w:ascii="Times New Roman" w:hAnsi="Times New Roman" w:cs="Times New Roman"/>
          <w:sz w:val="28"/>
          <w:szCs w:val="28"/>
          <w:lang w:val="uk-UA"/>
        </w:rPr>
        <w:t>, банки змушені й далі працювати переважно з державними облігаціями та НБУ, замість кредитувати приватний сектор. Прибутковість банків падає через високі витрати та резервування під можливі втрати. Можливе подальше зростання державної присутності у секторі (наприклад, докапіталізація державних банків за рахунок бюджету, якщо приватні інвестори не знайдуться). Валютні обмеження можуть зберігатися довше, що стримуватиме інтеграцію у світовий ринок капіталу. У такому сценарії відновлення банківської системи розтягується на десятиліття, а її внесок у економічне зростання лишається обмеженим.</w:t>
      </w:r>
    </w:p>
    <w:p w14:paraId="6F73619F" w14:textId="1A560B67" w:rsidR="009B44A7" w:rsidRPr="00B63D41" w:rsidRDefault="009B44A7" w:rsidP="007E00EB">
      <w:pPr>
        <w:ind w:firstLine="709"/>
        <w:jc w:val="both"/>
        <w:rPr>
          <w:rFonts w:ascii="Times New Roman" w:hAnsi="Times New Roman" w:cs="Times New Roman"/>
          <w:sz w:val="28"/>
          <w:szCs w:val="28"/>
          <w:lang w:val="uk-UA"/>
        </w:rPr>
      </w:pPr>
      <w:r w:rsidRPr="007E00EB">
        <w:rPr>
          <w:rFonts w:ascii="Times New Roman" w:hAnsi="Times New Roman" w:cs="Times New Roman"/>
          <w:i/>
          <w:iCs/>
          <w:sz w:val="28"/>
          <w:szCs w:val="28"/>
          <w:lang w:val="uk-UA"/>
        </w:rPr>
        <w:t>Реалістичний (базовий) сценарій</w:t>
      </w:r>
      <w:r w:rsidR="007E00EB">
        <w:rPr>
          <w:rFonts w:ascii="Times New Roman" w:hAnsi="Times New Roman" w:cs="Times New Roman"/>
          <w:i/>
          <w:iCs/>
          <w:sz w:val="28"/>
          <w:szCs w:val="28"/>
          <w:lang w:val="uk-UA"/>
        </w:rPr>
        <w:t>:</w:t>
      </w:r>
      <w:r w:rsidRPr="00B63D41">
        <w:rPr>
          <w:rFonts w:ascii="Times New Roman" w:hAnsi="Times New Roman" w:cs="Times New Roman"/>
          <w:sz w:val="28"/>
          <w:szCs w:val="28"/>
          <w:lang w:val="uk-UA"/>
        </w:rPr>
        <w:t xml:space="preserve"> Найбільш ймовірний шлях розвитку, який враховує як значну міжнародну підтримку, так і наявність внутрішніх викликів. Війна може тривати ще певний час, але її інтенсивність спаде, дозволивши розпочати поступове відновлення на звільнених територіях. Україна отримуватиме стабільну допомогу від </w:t>
      </w:r>
      <w:r w:rsidRPr="00B63D41">
        <w:rPr>
          <w:rFonts w:ascii="Times New Roman" w:hAnsi="Times New Roman" w:cs="Times New Roman"/>
          <w:sz w:val="28"/>
          <w:szCs w:val="28"/>
          <w:lang w:val="uk-UA"/>
        </w:rPr>
        <w:lastRenderedPageBreak/>
        <w:t xml:space="preserve">союзників, проте основний тягар реформ і відбудови ляже на внутрішні інституції. У реалістичному сценарії банківська система рухається шляхом </w:t>
      </w:r>
      <w:r w:rsidRPr="007E00EB">
        <w:rPr>
          <w:rFonts w:ascii="Times New Roman" w:hAnsi="Times New Roman" w:cs="Times New Roman"/>
          <w:sz w:val="28"/>
          <w:szCs w:val="28"/>
          <w:lang w:val="uk-UA"/>
        </w:rPr>
        <w:t>поступового оздоровлення і модернізації</w:t>
      </w:r>
      <w:r w:rsidRPr="00B63D41">
        <w:rPr>
          <w:rFonts w:ascii="Times New Roman" w:hAnsi="Times New Roman" w:cs="Times New Roman"/>
          <w:sz w:val="28"/>
          <w:szCs w:val="28"/>
          <w:lang w:val="uk-UA"/>
        </w:rPr>
        <w:t>. Регулятори і банки спільно вирішують проблему воєнних NPL, використовуючи і державні механізми, і ринкові інструменти (продаж боргів, створення «поганого банку»). Кредитування відновлюється поетапно: спочатку за рахунок держпрограм і гарантій, далі – зі зростанням економіки – вже на комерційних засадах. Банки впроваджують нові технології, щоб скоротити витрати та підвищити якість обслуговування, адже конкуренція посилюється (можливий прихід на ринок нових гравців, у тому числі іноземних банків середнього розміру). Держава виконує взяті зобов’язання з реформ: покращує корпоративне управління держбанків, забезпечує ефективну роботу судової системи для захисту прав кредиторів та інвесторів. Завдяки цьому поступово зміцнюється довіра до банківського сектору – як з боку населення, так і бізнесу та міжнародних партнерів. Євроінтеграція просувається крок за кроком: ухвалюються необхідні закони, українські регуляції стають тотожними європейським, і до моменту вступу в ЄС фінансовий ринок буде максимально підготовлений до роботи за єдиними правилами. Реалістичний сценарій, таким чином, передбачає стабільне відновлення банківської системи через комплексний підхід та міжнародну підтримку. Він менш стрімкий, ніж оптимістичний, але все ж веде до позитивних зрушень: банки зберігають стійкість та водночас нарощують активність у кредитуванні й інвестиціях, стаючи однією з опор повоєнного економічного зростання.</w:t>
      </w:r>
    </w:p>
    <w:p w14:paraId="695D803C" w14:textId="0CC72E24" w:rsidR="009B44A7" w:rsidRPr="00597316" w:rsidRDefault="009B44A7" w:rsidP="00597316">
      <w:pPr>
        <w:ind w:firstLine="709"/>
        <w:jc w:val="both"/>
        <w:rPr>
          <w:rFonts w:ascii="Times New Roman" w:hAnsi="Times New Roman" w:cs="Times New Roman"/>
          <w:sz w:val="28"/>
          <w:szCs w:val="28"/>
          <w:lang w:val="uk-UA"/>
        </w:rPr>
      </w:pPr>
      <w:r w:rsidRPr="00B63D41">
        <w:rPr>
          <w:rFonts w:ascii="Times New Roman" w:hAnsi="Times New Roman" w:cs="Times New Roman"/>
          <w:sz w:val="28"/>
          <w:szCs w:val="28"/>
          <w:lang w:val="uk-UA"/>
        </w:rPr>
        <w:t xml:space="preserve">Незалежно від сценарію, очевидно, що </w:t>
      </w:r>
      <w:r w:rsidRPr="00597316">
        <w:rPr>
          <w:rFonts w:ascii="Times New Roman" w:hAnsi="Times New Roman" w:cs="Times New Roman"/>
          <w:sz w:val="28"/>
          <w:szCs w:val="28"/>
          <w:lang w:val="uk-UA"/>
        </w:rPr>
        <w:t>банківська система відіграватиме ключову роль у післявоєнному відновленні</w:t>
      </w:r>
      <w:r w:rsidRPr="00B63D41">
        <w:rPr>
          <w:rFonts w:ascii="Times New Roman" w:hAnsi="Times New Roman" w:cs="Times New Roman"/>
          <w:sz w:val="28"/>
          <w:szCs w:val="28"/>
          <w:lang w:val="uk-UA"/>
        </w:rPr>
        <w:t xml:space="preserve"> всієї країни. Без здорових та функціональних банків неможливо мобілізувати кошти для відбудови підприємств, житла, інфраструктури. Тому держава і регулятор вже зараз закладають фундамент для майбутнього – зміцнюють фінансову стабільність, вибудовують довіру та співпрацю з міжнародними донорами. Від успішності цих зусиль залежить, чи зможе банківський сектор стати локомотивом відродження економіки чи залишатиметься її «вразливим місцем». На щастя, досвід останніх років – від стрес-тестів до цифрових новацій – показав, що українські банки здатні адаптуватися до надскладних умов і реформуватися. Якщо ця динаміка збережеться, то у повоєнний період банківська система України, ймовірно, увійде оновленою, стійкішою та ще більш інтегрованою у світову фінансову екосистему, забезпечуючи фінансовий фундамент для процвітання країни.</w:t>
      </w:r>
    </w:p>
    <w:sectPr w:rsidR="009B44A7" w:rsidRPr="00597316" w:rsidSect="007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5D0F"/>
    <w:multiLevelType w:val="multilevel"/>
    <w:tmpl w:val="8A08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92B5B"/>
    <w:multiLevelType w:val="multilevel"/>
    <w:tmpl w:val="14E01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E456E"/>
    <w:multiLevelType w:val="multilevel"/>
    <w:tmpl w:val="8AB012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E1803"/>
    <w:multiLevelType w:val="multilevel"/>
    <w:tmpl w:val="DBB446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74AB6"/>
    <w:multiLevelType w:val="multilevel"/>
    <w:tmpl w:val="ED80E2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A82443"/>
    <w:multiLevelType w:val="multilevel"/>
    <w:tmpl w:val="9FA6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1B0C1B"/>
    <w:multiLevelType w:val="multilevel"/>
    <w:tmpl w:val="3CCA5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135845"/>
    <w:multiLevelType w:val="multilevel"/>
    <w:tmpl w:val="3BD6E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382FA5"/>
    <w:multiLevelType w:val="multilevel"/>
    <w:tmpl w:val="FB523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526600"/>
    <w:multiLevelType w:val="multilevel"/>
    <w:tmpl w:val="B130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8F0EC6"/>
    <w:multiLevelType w:val="multilevel"/>
    <w:tmpl w:val="C4F0B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342795"/>
    <w:multiLevelType w:val="multilevel"/>
    <w:tmpl w:val="828EF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AC7FA1"/>
    <w:multiLevelType w:val="multilevel"/>
    <w:tmpl w:val="33743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2B27F6"/>
    <w:multiLevelType w:val="multilevel"/>
    <w:tmpl w:val="9C480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825809"/>
    <w:multiLevelType w:val="multilevel"/>
    <w:tmpl w:val="183C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714BEB"/>
    <w:multiLevelType w:val="multilevel"/>
    <w:tmpl w:val="63C63D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115C6A"/>
    <w:multiLevelType w:val="multilevel"/>
    <w:tmpl w:val="1C7E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72138A"/>
    <w:multiLevelType w:val="multilevel"/>
    <w:tmpl w:val="9238D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B21445"/>
    <w:multiLevelType w:val="multilevel"/>
    <w:tmpl w:val="AAFE45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9087552">
    <w:abstractNumId w:val="13"/>
  </w:num>
  <w:num w:numId="2" w16cid:durableId="681469926">
    <w:abstractNumId w:val="12"/>
  </w:num>
  <w:num w:numId="3" w16cid:durableId="16857618">
    <w:abstractNumId w:val="6"/>
  </w:num>
  <w:num w:numId="4" w16cid:durableId="841044308">
    <w:abstractNumId w:val="2"/>
  </w:num>
  <w:num w:numId="5" w16cid:durableId="1324043671">
    <w:abstractNumId w:val="8"/>
  </w:num>
  <w:num w:numId="6" w16cid:durableId="2102526982">
    <w:abstractNumId w:val="10"/>
  </w:num>
  <w:num w:numId="7" w16cid:durableId="1873810681">
    <w:abstractNumId w:val="0"/>
  </w:num>
  <w:num w:numId="8" w16cid:durableId="1219904479">
    <w:abstractNumId w:val="18"/>
  </w:num>
  <w:num w:numId="9" w16cid:durableId="867833145">
    <w:abstractNumId w:val="1"/>
  </w:num>
  <w:num w:numId="10" w16cid:durableId="1216240521">
    <w:abstractNumId w:val="17"/>
  </w:num>
  <w:num w:numId="11" w16cid:durableId="1026565602">
    <w:abstractNumId w:val="15"/>
  </w:num>
  <w:num w:numId="12" w16cid:durableId="938950862">
    <w:abstractNumId w:val="3"/>
  </w:num>
  <w:num w:numId="13" w16cid:durableId="177962424">
    <w:abstractNumId w:val="9"/>
  </w:num>
  <w:num w:numId="14" w16cid:durableId="2032488430">
    <w:abstractNumId w:val="11"/>
  </w:num>
  <w:num w:numId="15" w16cid:durableId="1271087316">
    <w:abstractNumId w:val="4"/>
  </w:num>
  <w:num w:numId="16" w16cid:durableId="1651590751">
    <w:abstractNumId w:val="7"/>
  </w:num>
  <w:num w:numId="17" w16cid:durableId="936207342">
    <w:abstractNumId w:val="16"/>
  </w:num>
  <w:num w:numId="18" w16cid:durableId="1807814237">
    <w:abstractNumId w:val="14"/>
  </w:num>
  <w:num w:numId="19" w16cid:durableId="929002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31"/>
    <w:rsid w:val="00085529"/>
    <w:rsid w:val="001433C0"/>
    <w:rsid w:val="00373A14"/>
    <w:rsid w:val="00383B65"/>
    <w:rsid w:val="003A3D04"/>
    <w:rsid w:val="00483785"/>
    <w:rsid w:val="004A7FBE"/>
    <w:rsid w:val="00503D63"/>
    <w:rsid w:val="00597316"/>
    <w:rsid w:val="00724A54"/>
    <w:rsid w:val="007722A2"/>
    <w:rsid w:val="0077741A"/>
    <w:rsid w:val="007C1DFE"/>
    <w:rsid w:val="007E00EB"/>
    <w:rsid w:val="007F3B26"/>
    <w:rsid w:val="00815A00"/>
    <w:rsid w:val="00860480"/>
    <w:rsid w:val="009B44A7"/>
    <w:rsid w:val="00AB3C2C"/>
    <w:rsid w:val="00AC3759"/>
    <w:rsid w:val="00B63D41"/>
    <w:rsid w:val="00BA003F"/>
    <w:rsid w:val="00CA1934"/>
    <w:rsid w:val="00D1773C"/>
    <w:rsid w:val="00DC59AE"/>
    <w:rsid w:val="00DF4331"/>
    <w:rsid w:val="00E9048C"/>
    <w:rsid w:val="00F60B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EA37"/>
  <w15:chartTrackingRefBased/>
  <w15:docId w15:val="{A262E036-45C6-48C2-9704-5C8893BB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F4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F4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F433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F433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F433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F433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F433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F433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F433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433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F433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F433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F433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F433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F433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F4331"/>
    <w:rPr>
      <w:rFonts w:eastAsiaTheme="majorEastAsia" w:cstheme="majorBidi"/>
      <w:color w:val="595959" w:themeColor="text1" w:themeTint="A6"/>
    </w:rPr>
  </w:style>
  <w:style w:type="character" w:customStyle="1" w:styleId="80">
    <w:name w:val="Заголовок 8 Знак"/>
    <w:basedOn w:val="a0"/>
    <w:link w:val="8"/>
    <w:uiPriority w:val="9"/>
    <w:semiHidden/>
    <w:rsid w:val="00DF433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F4331"/>
    <w:rPr>
      <w:rFonts w:eastAsiaTheme="majorEastAsia" w:cstheme="majorBidi"/>
      <w:color w:val="272727" w:themeColor="text1" w:themeTint="D8"/>
    </w:rPr>
  </w:style>
  <w:style w:type="paragraph" w:styleId="a3">
    <w:name w:val="Title"/>
    <w:basedOn w:val="a"/>
    <w:next w:val="a"/>
    <w:link w:val="a4"/>
    <w:uiPriority w:val="10"/>
    <w:qFormat/>
    <w:rsid w:val="00DF4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F43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33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F433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F4331"/>
    <w:pPr>
      <w:spacing w:before="160"/>
      <w:jc w:val="center"/>
    </w:pPr>
    <w:rPr>
      <w:i/>
      <w:iCs/>
      <w:color w:val="404040" w:themeColor="text1" w:themeTint="BF"/>
    </w:rPr>
  </w:style>
  <w:style w:type="character" w:customStyle="1" w:styleId="22">
    <w:name w:val="Цитата 2 Знак"/>
    <w:basedOn w:val="a0"/>
    <w:link w:val="21"/>
    <w:uiPriority w:val="29"/>
    <w:rsid w:val="00DF4331"/>
    <w:rPr>
      <w:i/>
      <w:iCs/>
      <w:color w:val="404040" w:themeColor="text1" w:themeTint="BF"/>
    </w:rPr>
  </w:style>
  <w:style w:type="paragraph" w:styleId="a7">
    <w:name w:val="List Paragraph"/>
    <w:basedOn w:val="a"/>
    <w:uiPriority w:val="34"/>
    <w:qFormat/>
    <w:rsid w:val="00DF4331"/>
    <w:pPr>
      <w:ind w:left="720"/>
      <w:contextualSpacing/>
    </w:pPr>
  </w:style>
  <w:style w:type="character" w:styleId="a8">
    <w:name w:val="Intense Emphasis"/>
    <w:basedOn w:val="a0"/>
    <w:uiPriority w:val="21"/>
    <w:qFormat/>
    <w:rsid w:val="00DF4331"/>
    <w:rPr>
      <w:i/>
      <w:iCs/>
      <w:color w:val="0F4761" w:themeColor="accent1" w:themeShade="BF"/>
    </w:rPr>
  </w:style>
  <w:style w:type="paragraph" w:styleId="a9">
    <w:name w:val="Intense Quote"/>
    <w:basedOn w:val="a"/>
    <w:next w:val="a"/>
    <w:link w:val="aa"/>
    <w:uiPriority w:val="30"/>
    <w:qFormat/>
    <w:rsid w:val="00DF4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F4331"/>
    <w:rPr>
      <w:i/>
      <w:iCs/>
      <w:color w:val="0F4761" w:themeColor="accent1" w:themeShade="BF"/>
    </w:rPr>
  </w:style>
  <w:style w:type="character" w:styleId="ab">
    <w:name w:val="Intense Reference"/>
    <w:basedOn w:val="a0"/>
    <w:uiPriority w:val="32"/>
    <w:qFormat/>
    <w:rsid w:val="00DF4331"/>
    <w:rPr>
      <w:b/>
      <w:bCs/>
      <w:smallCaps/>
      <w:color w:val="0F4761" w:themeColor="accent1" w:themeShade="BF"/>
      <w:spacing w:val="5"/>
    </w:rPr>
  </w:style>
  <w:style w:type="character" w:styleId="ac">
    <w:name w:val="Hyperlink"/>
    <w:basedOn w:val="a0"/>
    <w:uiPriority w:val="99"/>
    <w:unhideWhenUsed/>
    <w:rsid w:val="009B44A7"/>
    <w:rPr>
      <w:color w:val="467886" w:themeColor="hyperlink"/>
      <w:u w:val="single"/>
    </w:rPr>
  </w:style>
  <w:style w:type="character" w:styleId="ad">
    <w:name w:val="Unresolved Mention"/>
    <w:basedOn w:val="a0"/>
    <w:uiPriority w:val="99"/>
    <w:semiHidden/>
    <w:unhideWhenUsed/>
    <w:rsid w:val="009B4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0978">
      <w:bodyDiv w:val="1"/>
      <w:marLeft w:val="0"/>
      <w:marRight w:val="0"/>
      <w:marTop w:val="0"/>
      <w:marBottom w:val="0"/>
      <w:divBdr>
        <w:top w:val="none" w:sz="0" w:space="0" w:color="auto"/>
        <w:left w:val="none" w:sz="0" w:space="0" w:color="auto"/>
        <w:bottom w:val="none" w:sz="0" w:space="0" w:color="auto"/>
        <w:right w:val="none" w:sz="0" w:space="0" w:color="auto"/>
      </w:divBdr>
    </w:div>
    <w:div w:id="857356480">
      <w:bodyDiv w:val="1"/>
      <w:marLeft w:val="0"/>
      <w:marRight w:val="0"/>
      <w:marTop w:val="0"/>
      <w:marBottom w:val="0"/>
      <w:divBdr>
        <w:top w:val="none" w:sz="0" w:space="0" w:color="auto"/>
        <w:left w:val="none" w:sz="0" w:space="0" w:color="auto"/>
        <w:bottom w:val="none" w:sz="0" w:space="0" w:color="auto"/>
        <w:right w:val="none" w:sz="0" w:space="0" w:color="auto"/>
      </w:divBdr>
    </w:div>
    <w:div w:id="1044021020">
      <w:bodyDiv w:val="1"/>
      <w:marLeft w:val="0"/>
      <w:marRight w:val="0"/>
      <w:marTop w:val="0"/>
      <w:marBottom w:val="0"/>
      <w:divBdr>
        <w:top w:val="none" w:sz="0" w:space="0" w:color="auto"/>
        <w:left w:val="none" w:sz="0" w:space="0" w:color="auto"/>
        <w:bottom w:val="none" w:sz="0" w:space="0" w:color="auto"/>
        <w:right w:val="none" w:sz="0" w:space="0" w:color="auto"/>
      </w:divBdr>
    </w:div>
    <w:div w:id="1077903025">
      <w:bodyDiv w:val="1"/>
      <w:marLeft w:val="0"/>
      <w:marRight w:val="0"/>
      <w:marTop w:val="0"/>
      <w:marBottom w:val="0"/>
      <w:divBdr>
        <w:top w:val="none" w:sz="0" w:space="0" w:color="auto"/>
        <w:left w:val="none" w:sz="0" w:space="0" w:color="auto"/>
        <w:bottom w:val="none" w:sz="0" w:space="0" w:color="auto"/>
        <w:right w:val="none" w:sz="0" w:space="0" w:color="auto"/>
      </w:divBdr>
    </w:div>
    <w:div w:id="1229926527">
      <w:bodyDiv w:val="1"/>
      <w:marLeft w:val="0"/>
      <w:marRight w:val="0"/>
      <w:marTop w:val="0"/>
      <w:marBottom w:val="0"/>
      <w:divBdr>
        <w:top w:val="none" w:sz="0" w:space="0" w:color="auto"/>
        <w:left w:val="none" w:sz="0" w:space="0" w:color="auto"/>
        <w:bottom w:val="none" w:sz="0" w:space="0" w:color="auto"/>
        <w:right w:val="none" w:sz="0" w:space="0" w:color="auto"/>
      </w:divBdr>
    </w:div>
    <w:div w:id="1569999884">
      <w:bodyDiv w:val="1"/>
      <w:marLeft w:val="0"/>
      <w:marRight w:val="0"/>
      <w:marTop w:val="0"/>
      <w:marBottom w:val="0"/>
      <w:divBdr>
        <w:top w:val="none" w:sz="0" w:space="0" w:color="auto"/>
        <w:left w:val="none" w:sz="0" w:space="0" w:color="auto"/>
        <w:bottom w:val="none" w:sz="0" w:space="0" w:color="auto"/>
        <w:right w:val="none" w:sz="0" w:space="0" w:color="auto"/>
      </w:divBdr>
    </w:div>
    <w:div w:id="1651058900">
      <w:bodyDiv w:val="1"/>
      <w:marLeft w:val="0"/>
      <w:marRight w:val="0"/>
      <w:marTop w:val="0"/>
      <w:marBottom w:val="0"/>
      <w:divBdr>
        <w:top w:val="none" w:sz="0" w:space="0" w:color="auto"/>
        <w:left w:val="none" w:sz="0" w:space="0" w:color="auto"/>
        <w:bottom w:val="none" w:sz="0" w:space="0" w:color="auto"/>
        <w:right w:val="none" w:sz="0" w:space="0" w:color="auto"/>
      </w:divBdr>
    </w:div>
    <w:div w:id="186793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12</Pages>
  <Words>4114</Words>
  <Characters>23453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Рева</dc:creator>
  <cp:keywords/>
  <dc:description/>
  <cp:lastModifiedBy>Вячеслав Рева</cp:lastModifiedBy>
  <cp:revision>11</cp:revision>
  <dcterms:created xsi:type="dcterms:W3CDTF">2025-03-03T18:55:00Z</dcterms:created>
  <dcterms:modified xsi:type="dcterms:W3CDTF">2025-04-02T18:24:00Z</dcterms:modified>
</cp:coreProperties>
</file>