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8F" w:rsidRPr="006A5249" w:rsidRDefault="006A5249" w:rsidP="00FB653E">
      <w:pPr>
        <w:widowControl w:val="0"/>
        <w:spacing w:after="0"/>
        <w:ind w:firstLine="709"/>
        <w:jc w:val="both"/>
        <w:rPr>
          <w:rFonts w:ascii="Times New Roman" w:eastAsia="Times New Roman" w:hAnsi="Times New Roman" w:cs="Times New Roman"/>
          <w:b/>
          <w:bCs/>
          <w:sz w:val="28"/>
          <w:szCs w:val="28"/>
          <w:lang w:val="uk-UA"/>
        </w:rPr>
      </w:pPr>
      <w:r w:rsidRPr="006A5249">
        <w:rPr>
          <w:rFonts w:ascii="Times New Roman" w:eastAsia="Times New Roman" w:hAnsi="Times New Roman" w:cs="Times New Roman"/>
          <w:b/>
          <w:bCs/>
          <w:sz w:val="28"/>
          <w:szCs w:val="28"/>
          <w:lang w:val="uk-UA"/>
        </w:rPr>
        <w:t xml:space="preserve">Тема 3 </w:t>
      </w:r>
      <w:r w:rsidRPr="006A5249">
        <w:rPr>
          <w:rFonts w:ascii="Times New Roman" w:eastAsia="Times New Roman" w:hAnsi="Times New Roman" w:cs="Times New Roman"/>
          <w:b/>
          <w:bCs/>
          <w:sz w:val="28"/>
          <w:szCs w:val="28"/>
        </w:rPr>
        <w:t>Фінансові ринки та регуляція в ЄС</w:t>
      </w:r>
    </w:p>
    <w:p w:rsidR="006A5249" w:rsidRPr="006A5249" w:rsidRDefault="006A5249" w:rsidP="00FB653E">
      <w:pPr>
        <w:pStyle w:val="a3"/>
        <w:widowControl w:val="0"/>
        <w:numPr>
          <w:ilvl w:val="0"/>
          <w:numId w:val="1"/>
        </w:numPr>
        <w:spacing w:after="0"/>
        <w:ind w:left="0" w:firstLine="709"/>
        <w:rPr>
          <w:rFonts w:ascii="Times New Roman" w:hAnsi="Times New Roman" w:cs="Times New Roman"/>
          <w:sz w:val="28"/>
          <w:szCs w:val="28"/>
          <w:lang w:val="uk-UA"/>
        </w:rPr>
      </w:pPr>
      <w:r w:rsidRPr="006A5249">
        <w:rPr>
          <w:rFonts w:ascii="Times New Roman" w:hAnsi="Times New Roman" w:cs="Times New Roman"/>
          <w:sz w:val="28"/>
          <w:szCs w:val="28"/>
        </w:rPr>
        <w:t>Фінансов</w:t>
      </w:r>
      <w:r w:rsidRPr="006A5249">
        <w:rPr>
          <w:rFonts w:ascii="Times New Roman" w:hAnsi="Times New Roman" w:cs="Times New Roman"/>
          <w:sz w:val="28"/>
          <w:szCs w:val="28"/>
          <w:lang w:val="uk-UA"/>
        </w:rPr>
        <w:t>і</w:t>
      </w:r>
      <w:r w:rsidRPr="006A5249">
        <w:rPr>
          <w:rFonts w:ascii="Times New Roman" w:hAnsi="Times New Roman" w:cs="Times New Roman"/>
          <w:sz w:val="28"/>
          <w:szCs w:val="28"/>
        </w:rPr>
        <w:t xml:space="preserve"> ринк</w:t>
      </w:r>
      <w:r w:rsidRPr="006A5249">
        <w:rPr>
          <w:rFonts w:ascii="Times New Roman" w:hAnsi="Times New Roman" w:cs="Times New Roman"/>
          <w:sz w:val="28"/>
          <w:szCs w:val="28"/>
          <w:lang w:val="uk-UA"/>
        </w:rPr>
        <w:t>и</w:t>
      </w:r>
      <w:r w:rsidRPr="006A5249">
        <w:rPr>
          <w:rFonts w:ascii="Times New Roman" w:hAnsi="Times New Roman" w:cs="Times New Roman"/>
          <w:sz w:val="28"/>
          <w:szCs w:val="28"/>
        </w:rPr>
        <w:t xml:space="preserve"> у ЄС та їх структура</w:t>
      </w:r>
    </w:p>
    <w:p w:rsidR="006A5249" w:rsidRPr="006A5249" w:rsidRDefault="006A5249" w:rsidP="00FB653E">
      <w:pPr>
        <w:pStyle w:val="a3"/>
        <w:widowControl w:val="0"/>
        <w:numPr>
          <w:ilvl w:val="0"/>
          <w:numId w:val="1"/>
        </w:numPr>
        <w:spacing w:after="0"/>
        <w:ind w:left="0" w:firstLine="709"/>
        <w:rPr>
          <w:rFonts w:ascii="Times New Roman" w:hAnsi="Times New Roman" w:cs="Times New Roman"/>
          <w:sz w:val="28"/>
          <w:szCs w:val="28"/>
          <w:lang w:val="uk-UA"/>
        </w:rPr>
      </w:pPr>
      <w:r w:rsidRPr="006A5249">
        <w:rPr>
          <w:rFonts w:ascii="Times New Roman" w:hAnsi="Times New Roman" w:cs="Times New Roman"/>
          <w:sz w:val="28"/>
          <w:szCs w:val="28"/>
        </w:rPr>
        <w:t>Регуляція та інститути нагляду за фінансовими ринками у ЄС</w:t>
      </w:r>
    </w:p>
    <w:p w:rsidR="006A5249" w:rsidRPr="006A5249" w:rsidRDefault="006A5249" w:rsidP="00FB653E">
      <w:pPr>
        <w:pStyle w:val="a3"/>
        <w:widowControl w:val="0"/>
        <w:numPr>
          <w:ilvl w:val="0"/>
          <w:numId w:val="1"/>
        </w:numPr>
        <w:spacing w:after="0"/>
        <w:ind w:left="0" w:firstLine="709"/>
        <w:rPr>
          <w:rFonts w:ascii="Times New Roman" w:hAnsi="Times New Roman" w:cs="Times New Roman"/>
          <w:sz w:val="28"/>
          <w:szCs w:val="28"/>
          <w:lang w:val="uk-UA"/>
        </w:rPr>
      </w:pPr>
      <w:r w:rsidRPr="006A5249">
        <w:rPr>
          <w:rFonts w:ascii="Times New Roman" w:hAnsi="Times New Roman" w:cs="Times New Roman"/>
          <w:sz w:val="28"/>
          <w:szCs w:val="28"/>
        </w:rPr>
        <w:t>Основні нормативні акти та директиви ЄС щодо фінансових ринків</w:t>
      </w:r>
    </w:p>
    <w:p w:rsidR="006A5249" w:rsidRDefault="006A5249" w:rsidP="00FB653E">
      <w:pPr>
        <w:pStyle w:val="a3"/>
        <w:widowControl w:val="0"/>
        <w:numPr>
          <w:ilvl w:val="0"/>
          <w:numId w:val="1"/>
        </w:numPr>
        <w:spacing w:after="0"/>
        <w:ind w:left="0" w:firstLine="709"/>
        <w:rPr>
          <w:rFonts w:ascii="Times New Roman" w:hAnsi="Times New Roman" w:cs="Times New Roman"/>
          <w:sz w:val="28"/>
          <w:szCs w:val="28"/>
          <w:lang w:val="uk-UA"/>
        </w:rPr>
      </w:pPr>
      <w:r w:rsidRPr="006A5249">
        <w:rPr>
          <w:rFonts w:ascii="Times New Roman" w:hAnsi="Times New Roman" w:cs="Times New Roman"/>
          <w:sz w:val="28"/>
          <w:szCs w:val="28"/>
        </w:rPr>
        <w:t>Європейський банківський союз та механізми регуляції</w:t>
      </w:r>
    </w:p>
    <w:p w:rsidR="006A5249" w:rsidRPr="006A5249" w:rsidRDefault="006A5249" w:rsidP="00FB653E">
      <w:pPr>
        <w:widowControl w:val="0"/>
        <w:rPr>
          <w:rFonts w:ascii="Times New Roman" w:hAnsi="Times New Roman" w:cs="Times New Roman"/>
          <w:sz w:val="28"/>
          <w:szCs w:val="28"/>
          <w:lang w:val="uk-UA"/>
        </w:rPr>
      </w:pPr>
    </w:p>
    <w:p w:rsidR="006A5249" w:rsidRPr="006A5249" w:rsidRDefault="006A5249" w:rsidP="00FB653E">
      <w:pPr>
        <w:pStyle w:val="a3"/>
        <w:widowControl w:val="0"/>
        <w:numPr>
          <w:ilvl w:val="0"/>
          <w:numId w:val="2"/>
        </w:numPr>
        <w:spacing w:after="0" w:line="288" w:lineRule="auto"/>
        <w:ind w:left="0" w:firstLine="709"/>
        <w:rPr>
          <w:rFonts w:ascii="Times New Roman" w:hAnsi="Times New Roman" w:cs="Times New Roman"/>
          <w:b/>
          <w:sz w:val="28"/>
          <w:szCs w:val="28"/>
          <w:lang w:val="uk-UA"/>
        </w:rPr>
      </w:pPr>
      <w:r w:rsidRPr="006A5249">
        <w:rPr>
          <w:rFonts w:ascii="Times New Roman" w:hAnsi="Times New Roman" w:cs="Times New Roman"/>
          <w:b/>
          <w:sz w:val="28"/>
          <w:szCs w:val="28"/>
        </w:rPr>
        <w:t>Фінансов</w:t>
      </w:r>
      <w:r w:rsidRPr="006A5249">
        <w:rPr>
          <w:rFonts w:ascii="Times New Roman" w:hAnsi="Times New Roman" w:cs="Times New Roman"/>
          <w:b/>
          <w:sz w:val="28"/>
          <w:szCs w:val="28"/>
          <w:lang w:val="uk-UA"/>
        </w:rPr>
        <w:t>і</w:t>
      </w:r>
      <w:r w:rsidRPr="006A5249">
        <w:rPr>
          <w:rFonts w:ascii="Times New Roman" w:hAnsi="Times New Roman" w:cs="Times New Roman"/>
          <w:b/>
          <w:sz w:val="28"/>
          <w:szCs w:val="28"/>
        </w:rPr>
        <w:t xml:space="preserve"> ринк</w:t>
      </w:r>
      <w:r w:rsidRPr="006A5249">
        <w:rPr>
          <w:rFonts w:ascii="Times New Roman" w:hAnsi="Times New Roman" w:cs="Times New Roman"/>
          <w:b/>
          <w:sz w:val="28"/>
          <w:szCs w:val="28"/>
          <w:lang w:val="uk-UA"/>
        </w:rPr>
        <w:t>и</w:t>
      </w:r>
      <w:r w:rsidRPr="006A5249">
        <w:rPr>
          <w:rFonts w:ascii="Times New Roman" w:hAnsi="Times New Roman" w:cs="Times New Roman"/>
          <w:b/>
          <w:sz w:val="28"/>
          <w:szCs w:val="28"/>
        </w:rPr>
        <w:t xml:space="preserve"> у ЄС та їх структура</w:t>
      </w:r>
    </w:p>
    <w:p w:rsidR="006A5249" w:rsidRPr="00B07E00" w:rsidRDefault="006A5249" w:rsidP="00FB653E">
      <w:pPr>
        <w:widowControl w:val="0"/>
        <w:spacing w:after="0" w:line="288" w:lineRule="auto"/>
        <w:ind w:firstLine="709"/>
        <w:jc w:val="both"/>
        <w:rPr>
          <w:rFonts w:ascii="Times New Roman" w:hAnsi="Times New Roman" w:cs="Times New Roman"/>
          <w:sz w:val="28"/>
          <w:szCs w:val="28"/>
          <w:lang w:val="uk-UA"/>
        </w:rPr>
      </w:pPr>
      <w:r w:rsidRPr="00B07E00">
        <w:rPr>
          <w:rFonts w:ascii="Times New Roman" w:hAnsi="Times New Roman" w:cs="Times New Roman"/>
          <w:sz w:val="28"/>
          <w:szCs w:val="28"/>
        </w:rPr>
        <w:t>Фінансові ринки Європейського Союзу є основою для капіталовкладень, економічного зростання та інтеграції на рівні Союзу. Ефективні фінансові ринки дозволяють залучати капітал для бізнесу, підтримувати розвиток державних і приватних проєктів, забезпечувати ліквідність та знижувати вартість капіталу. Завдяки активній участі інвесторів та розвиненій інфраструктурі, фінансові ринки ЄС сприяють розвитку європейської економіки, зміцненню банківської системи та підвищенню рівня життя громадян.</w:t>
      </w:r>
    </w:p>
    <w:p w:rsidR="006A5249" w:rsidRPr="00B07E00" w:rsidRDefault="006A5249" w:rsidP="00FB653E">
      <w:pPr>
        <w:pStyle w:val="a4"/>
        <w:widowControl w:val="0"/>
        <w:spacing w:before="0" w:beforeAutospacing="0" w:after="0" w:afterAutospacing="0" w:line="288" w:lineRule="auto"/>
        <w:ind w:firstLine="709"/>
        <w:jc w:val="both"/>
        <w:rPr>
          <w:sz w:val="28"/>
          <w:szCs w:val="28"/>
        </w:rPr>
      </w:pPr>
      <w:r w:rsidRPr="00B07E00">
        <w:rPr>
          <w:sz w:val="28"/>
          <w:szCs w:val="28"/>
        </w:rPr>
        <w:t>Фінансовий ринок у ЄС охоплює такі основні категорії, кожна з яких має свої особливості й відіграє важливу роль у розвитку економіки:</w:t>
      </w:r>
    </w:p>
    <w:p w:rsidR="006A5249" w:rsidRPr="00B07E00" w:rsidRDefault="00B07E00" w:rsidP="00FB653E">
      <w:pPr>
        <w:pStyle w:val="a4"/>
        <w:widowControl w:val="0"/>
        <w:numPr>
          <w:ilvl w:val="0"/>
          <w:numId w:val="17"/>
        </w:numPr>
        <w:tabs>
          <w:tab w:val="left" w:pos="993"/>
        </w:tabs>
        <w:spacing w:before="0" w:beforeAutospacing="0" w:after="0" w:afterAutospacing="0" w:line="288" w:lineRule="auto"/>
        <w:ind w:left="0" w:firstLine="709"/>
        <w:jc w:val="both"/>
        <w:rPr>
          <w:sz w:val="28"/>
          <w:szCs w:val="28"/>
        </w:rPr>
      </w:pPr>
      <w:r w:rsidRPr="00B07E00">
        <w:rPr>
          <w:rStyle w:val="a5"/>
          <w:sz w:val="28"/>
          <w:szCs w:val="28"/>
        </w:rPr>
        <w:t>ф</w:t>
      </w:r>
      <w:r w:rsidR="006A5249" w:rsidRPr="00B07E00">
        <w:rPr>
          <w:rStyle w:val="a5"/>
          <w:sz w:val="28"/>
          <w:szCs w:val="28"/>
        </w:rPr>
        <w:t>ондовий ринок</w:t>
      </w:r>
      <w:r w:rsidR="006A5249" w:rsidRPr="00B07E00">
        <w:rPr>
          <w:sz w:val="28"/>
          <w:szCs w:val="28"/>
        </w:rPr>
        <w:t xml:space="preserve"> </w:t>
      </w:r>
      <w:r w:rsidRPr="002D5824">
        <w:rPr>
          <w:sz w:val="28"/>
          <w:szCs w:val="28"/>
        </w:rPr>
        <w:t>–</w:t>
      </w:r>
      <w:r w:rsidR="006A5249" w:rsidRPr="00B07E00">
        <w:rPr>
          <w:sz w:val="28"/>
          <w:szCs w:val="28"/>
        </w:rPr>
        <w:t xml:space="preserve"> місце торгівлі акціями та іншими цінними паперами. Він дозволяє підприємствам залучати фінансування, випускаючи акції для широкого кола інвесторів. На фондовому ринку інвестори можуть придбати частку у капіталі компаній, що дає їм право на прибуток і вплив на прийняття рішень.</w:t>
      </w:r>
    </w:p>
    <w:p w:rsidR="006A5249" w:rsidRPr="00B07E00" w:rsidRDefault="00B07E00" w:rsidP="00FB653E">
      <w:pPr>
        <w:pStyle w:val="a4"/>
        <w:widowControl w:val="0"/>
        <w:numPr>
          <w:ilvl w:val="0"/>
          <w:numId w:val="17"/>
        </w:numPr>
        <w:tabs>
          <w:tab w:val="left" w:pos="993"/>
        </w:tabs>
        <w:spacing w:before="0" w:beforeAutospacing="0" w:after="0" w:afterAutospacing="0" w:line="288" w:lineRule="auto"/>
        <w:ind w:left="0" w:firstLine="709"/>
        <w:jc w:val="both"/>
        <w:rPr>
          <w:sz w:val="28"/>
          <w:szCs w:val="28"/>
        </w:rPr>
      </w:pPr>
      <w:r w:rsidRPr="00B07E00">
        <w:rPr>
          <w:rStyle w:val="a5"/>
          <w:sz w:val="28"/>
          <w:szCs w:val="28"/>
        </w:rPr>
        <w:t>в</w:t>
      </w:r>
      <w:r w:rsidR="006A5249" w:rsidRPr="00B07E00">
        <w:rPr>
          <w:rStyle w:val="a5"/>
          <w:sz w:val="28"/>
          <w:szCs w:val="28"/>
        </w:rPr>
        <w:t>алютний ринок</w:t>
      </w:r>
      <w:r w:rsidR="006A5249" w:rsidRPr="00B07E00">
        <w:rPr>
          <w:sz w:val="28"/>
          <w:szCs w:val="28"/>
        </w:rPr>
        <w:t xml:space="preserve"> </w:t>
      </w:r>
      <w:r w:rsidRPr="002D5824">
        <w:rPr>
          <w:sz w:val="28"/>
          <w:szCs w:val="28"/>
        </w:rPr>
        <w:t>–</w:t>
      </w:r>
      <w:r w:rsidR="006A5249" w:rsidRPr="00B07E00">
        <w:rPr>
          <w:sz w:val="28"/>
          <w:szCs w:val="28"/>
        </w:rPr>
        <w:t xml:space="preserve"> платформа для обміну валют, яка відіграє ключову роль у міжнародній торгівлі. З допомогою валютного ринку компанії, які ведуть бізнес у кількох країнах, можуть мінімізувати ризики, пов'язані з коливаннями валютних курсів.</w:t>
      </w:r>
    </w:p>
    <w:p w:rsidR="006A5249" w:rsidRPr="00B07E00" w:rsidRDefault="00B07E00" w:rsidP="00FB653E">
      <w:pPr>
        <w:pStyle w:val="a4"/>
        <w:widowControl w:val="0"/>
        <w:numPr>
          <w:ilvl w:val="0"/>
          <w:numId w:val="17"/>
        </w:numPr>
        <w:tabs>
          <w:tab w:val="left" w:pos="993"/>
        </w:tabs>
        <w:spacing w:before="0" w:beforeAutospacing="0" w:after="0" w:afterAutospacing="0" w:line="288" w:lineRule="auto"/>
        <w:ind w:left="0" w:firstLine="709"/>
        <w:jc w:val="both"/>
        <w:rPr>
          <w:sz w:val="28"/>
          <w:szCs w:val="28"/>
        </w:rPr>
      </w:pPr>
      <w:r w:rsidRPr="00B07E00">
        <w:rPr>
          <w:rStyle w:val="a5"/>
          <w:sz w:val="28"/>
          <w:szCs w:val="28"/>
        </w:rPr>
        <w:t>р</w:t>
      </w:r>
      <w:r w:rsidR="006A5249" w:rsidRPr="00B07E00">
        <w:rPr>
          <w:rStyle w:val="a5"/>
          <w:sz w:val="28"/>
          <w:szCs w:val="28"/>
        </w:rPr>
        <w:t>инок облігацій</w:t>
      </w:r>
      <w:r w:rsidR="006A5249" w:rsidRPr="00B07E00">
        <w:rPr>
          <w:sz w:val="28"/>
          <w:szCs w:val="28"/>
        </w:rPr>
        <w:t xml:space="preserve"> </w:t>
      </w:r>
      <w:r w:rsidRPr="002D5824">
        <w:rPr>
          <w:sz w:val="28"/>
          <w:szCs w:val="28"/>
        </w:rPr>
        <w:t>–</w:t>
      </w:r>
      <w:r w:rsidR="006A5249" w:rsidRPr="00B07E00">
        <w:rPr>
          <w:sz w:val="28"/>
          <w:szCs w:val="28"/>
        </w:rPr>
        <w:t xml:space="preserve"> місце торгівлі борговими зобов'язаннями, що випускаються урядами, корпораціями та іншими організаціями. Інвестори можуть купувати облігації для отримання відсоткового доходу. Ринок облігацій дозволяє урядам залучати кошти для інфраструктурних проектів і забезпечувати соціальні програми.</w:t>
      </w:r>
    </w:p>
    <w:p w:rsidR="006A5249" w:rsidRPr="00B07E00" w:rsidRDefault="00B07E00" w:rsidP="00FB653E">
      <w:pPr>
        <w:pStyle w:val="a4"/>
        <w:widowControl w:val="0"/>
        <w:numPr>
          <w:ilvl w:val="0"/>
          <w:numId w:val="17"/>
        </w:numPr>
        <w:tabs>
          <w:tab w:val="left" w:pos="993"/>
        </w:tabs>
        <w:spacing w:before="0" w:beforeAutospacing="0" w:after="0" w:afterAutospacing="0" w:line="288" w:lineRule="auto"/>
        <w:ind w:left="0" w:firstLine="709"/>
        <w:jc w:val="both"/>
        <w:rPr>
          <w:sz w:val="28"/>
          <w:szCs w:val="28"/>
        </w:rPr>
      </w:pPr>
      <w:r w:rsidRPr="00B07E00">
        <w:rPr>
          <w:rStyle w:val="a5"/>
          <w:sz w:val="28"/>
          <w:szCs w:val="28"/>
        </w:rPr>
        <w:t>р</w:t>
      </w:r>
      <w:r w:rsidR="006A5249" w:rsidRPr="00B07E00">
        <w:rPr>
          <w:rStyle w:val="a5"/>
          <w:sz w:val="28"/>
          <w:szCs w:val="28"/>
        </w:rPr>
        <w:t>инок деривативів</w:t>
      </w:r>
      <w:r w:rsidR="006A5249" w:rsidRPr="00B07E00">
        <w:rPr>
          <w:sz w:val="28"/>
          <w:szCs w:val="28"/>
        </w:rPr>
        <w:t xml:space="preserve"> </w:t>
      </w:r>
      <w:r w:rsidRPr="002D5824">
        <w:rPr>
          <w:sz w:val="28"/>
          <w:szCs w:val="28"/>
        </w:rPr>
        <w:t>–</w:t>
      </w:r>
      <w:r w:rsidR="006A5249" w:rsidRPr="00B07E00">
        <w:rPr>
          <w:sz w:val="28"/>
          <w:szCs w:val="28"/>
        </w:rPr>
        <w:t xml:space="preserve"> ринок похідних фінансових інструментів, таких як ф'ючерси, опціони та свопи. Деривативи забезпечують інвесторам можливість хеджування фінансових ризиків або отримання прибутку від спекулятивних операцій.</w:t>
      </w:r>
    </w:p>
    <w:p w:rsidR="006A5249" w:rsidRPr="00B07E00" w:rsidRDefault="006A5249" w:rsidP="00FB653E">
      <w:pPr>
        <w:pStyle w:val="a4"/>
        <w:widowControl w:val="0"/>
        <w:spacing w:before="0" w:beforeAutospacing="0" w:after="0" w:afterAutospacing="0" w:line="288" w:lineRule="auto"/>
        <w:ind w:firstLine="709"/>
        <w:jc w:val="both"/>
        <w:rPr>
          <w:sz w:val="28"/>
          <w:szCs w:val="28"/>
          <w:lang w:val="uk-UA"/>
        </w:rPr>
      </w:pPr>
      <w:r w:rsidRPr="00B07E00">
        <w:rPr>
          <w:rStyle w:val="a5"/>
          <w:sz w:val="28"/>
          <w:szCs w:val="28"/>
        </w:rPr>
        <w:t>Учасники фінансових ринків у ЄС</w:t>
      </w:r>
      <w:r w:rsidR="00B07E00">
        <w:rPr>
          <w:rStyle w:val="a5"/>
          <w:sz w:val="28"/>
          <w:szCs w:val="28"/>
          <w:lang w:val="uk-UA"/>
        </w:rPr>
        <w:t>:</w:t>
      </w:r>
    </w:p>
    <w:p w:rsidR="006A5249" w:rsidRPr="00B07E00" w:rsidRDefault="00B07E00" w:rsidP="00FB653E">
      <w:pPr>
        <w:pStyle w:val="a4"/>
        <w:widowControl w:val="0"/>
        <w:numPr>
          <w:ilvl w:val="0"/>
          <w:numId w:val="18"/>
        </w:numPr>
        <w:tabs>
          <w:tab w:val="left" w:pos="993"/>
        </w:tabs>
        <w:spacing w:before="0" w:beforeAutospacing="0" w:after="0" w:afterAutospacing="0" w:line="288" w:lineRule="auto"/>
        <w:ind w:left="0" w:firstLine="709"/>
        <w:jc w:val="both"/>
        <w:rPr>
          <w:sz w:val="28"/>
          <w:szCs w:val="28"/>
        </w:rPr>
      </w:pPr>
      <w:r w:rsidRPr="00B07E00">
        <w:rPr>
          <w:rStyle w:val="a5"/>
          <w:sz w:val="28"/>
          <w:szCs w:val="28"/>
        </w:rPr>
        <w:t>і</w:t>
      </w:r>
      <w:r w:rsidR="006A5249" w:rsidRPr="00B07E00">
        <w:rPr>
          <w:rStyle w:val="a5"/>
          <w:sz w:val="28"/>
          <w:szCs w:val="28"/>
        </w:rPr>
        <w:t>нвестори</w:t>
      </w:r>
      <w:r w:rsidR="006A5249" w:rsidRPr="00B07E00">
        <w:rPr>
          <w:sz w:val="28"/>
          <w:szCs w:val="28"/>
        </w:rPr>
        <w:t xml:space="preserve"> </w:t>
      </w:r>
      <w:r w:rsidRPr="002D5824">
        <w:rPr>
          <w:sz w:val="28"/>
          <w:szCs w:val="28"/>
        </w:rPr>
        <w:t>–</w:t>
      </w:r>
      <w:r w:rsidR="006A5249" w:rsidRPr="00B07E00">
        <w:rPr>
          <w:sz w:val="28"/>
          <w:szCs w:val="28"/>
        </w:rPr>
        <w:t xml:space="preserve"> це основні постачальники капіталу, які здійснюють вкладення в акції, облігації, деривативи та інші активи для отримання доходу. </w:t>
      </w:r>
      <w:r w:rsidR="006A5249" w:rsidRPr="00B07E00">
        <w:rPr>
          <w:sz w:val="28"/>
          <w:szCs w:val="28"/>
        </w:rPr>
        <w:lastRenderedPageBreak/>
        <w:t>Інвестори можуть бути роздрібними (фізичні особи) або інституційними (пенсійні фонди, страхові компанії, банки).</w:t>
      </w:r>
    </w:p>
    <w:p w:rsidR="006A5249" w:rsidRPr="00B07E00" w:rsidRDefault="00B07E00" w:rsidP="00FB653E">
      <w:pPr>
        <w:pStyle w:val="a4"/>
        <w:widowControl w:val="0"/>
        <w:numPr>
          <w:ilvl w:val="0"/>
          <w:numId w:val="18"/>
        </w:numPr>
        <w:tabs>
          <w:tab w:val="left" w:pos="993"/>
        </w:tabs>
        <w:spacing w:before="0" w:beforeAutospacing="0" w:after="0" w:afterAutospacing="0" w:line="288" w:lineRule="auto"/>
        <w:ind w:left="0" w:firstLine="709"/>
        <w:jc w:val="both"/>
        <w:rPr>
          <w:sz w:val="28"/>
          <w:szCs w:val="28"/>
        </w:rPr>
      </w:pPr>
      <w:r w:rsidRPr="00B07E00">
        <w:rPr>
          <w:rStyle w:val="a5"/>
          <w:sz w:val="28"/>
          <w:szCs w:val="28"/>
        </w:rPr>
        <w:t>ф</w:t>
      </w:r>
      <w:r w:rsidR="006A5249" w:rsidRPr="00B07E00">
        <w:rPr>
          <w:rStyle w:val="a5"/>
          <w:sz w:val="28"/>
          <w:szCs w:val="28"/>
        </w:rPr>
        <w:t>інансові посередники</w:t>
      </w:r>
      <w:r w:rsidR="006A5249" w:rsidRPr="00B07E00">
        <w:rPr>
          <w:sz w:val="28"/>
          <w:szCs w:val="28"/>
        </w:rPr>
        <w:t xml:space="preserve"> </w:t>
      </w:r>
      <w:r w:rsidRPr="002D5824">
        <w:rPr>
          <w:sz w:val="28"/>
          <w:szCs w:val="28"/>
        </w:rPr>
        <w:t>–</w:t>
      </w:r>
      <w:r w:rsidR="006A5249" w:rsidRPr="00B07E00">
        <w:rPr>
          <w:sz w:val="28"/>
          <w:szCs w:val="28"/>
        </w:rPr>
        <w:t xml:space="preserve"> організації, що надають послуги для спрощення доступу до фінансових ринків, зокрема банки, брокерські компанії та інвестиційні фонди. Вони сприяють підтримці ліквідності на ринках і забезпечують безпеку операцій.</w:t>
      </w:r>
    </w:p>
    <w:p w:rsidR="006A5249" w:rsidRPr="00B07E00" w:rsidRDefault="00B07E00" w:rsidP="00FB653E">
      <w:pPr>
        <w:pStyle w:val="a4"/>
        <w:widowControl w:val="0"/>
        <w:numPr>
          <w:ilvl w:val="0"/>
          <w:numId w:val="18"/>
        </w:numPr>
        <w:tabs>
          <w:tab w:val="left" w:pos="993"/>
        </w:tabs>
        <w:spacing w:before="0" w:beforeAutospacing="0" w:after="0" w:afterAutospacing="0" w:line="288" w:lineRule="auto"/>
        <w:ind w:left="0" w:firstLine="709"/>
        <w:jc w:val="both"/>
        <w:rPr>
          <w:sz w:val="28"/>
          <w:szCs w:val="28"/>
        </w:rPr>
      </w:pPr>
      <w:r w:rsidRPr="00B07E00">
        <w:rPr>
          <w:rStyle w:val="a5"/>
          <w:sz w:val="28"/>
          <w:szCs w:val="28"/>
        </w:rPr>
        <w:t>б</w:t>
      </w:r>
      <w:r w:rsidR="006A5249" w:rsidRPr="00B07E00">
        <w:rPr>
          <w:rStyle w:val="a5"/>
          <w:sz w:val="28"/>
          <w:szCs w:val="28"/>
        </w:rPr>
        <w:t>рокери та дилери</w:t>
      </w:r>
      <w:r w:rsidR="006A5249" w:rsidRPr="00B07E00">
        <w:rPr>
          <w:sz w:val="28"/>
          <w:szCs w:val="28"/>
        </w:rPr>
        <w:t xml:space="preserve"> </w:t>
      </w:r>
      <w:r w:rsidRPr="002D5824">
        <w:rPr>
          <w:sz w:val="28"/>
          <w:szCs w:val="28"/>
        </w:rPr>
        <w:t>–</w:t>
      </w:r>
      <w:r w:rsidR="006A5249" w:rsidRPr="00B07E00">
        <w:rPr>
          <w:sz w:val="28"/>
          <w:szCs w:val="28"/>
        </w:rPr>
        <w:t xml:space="preserve"> це фахівці, які виконують операції на ринках від імені інвесторів або компаній. Брокери надають послуги з купівлі-продажу активів, а дилери можуть діяти як продавці активів.</w:t>
      </w:r>
    </w:p>
    <w:p w:rsidR="006A5249" w:rsidRPr="00B07E00" w:rsidRDefault="00B07E00" w:rsidP="00FB653E">
      <w:pPr>
        <w:pStyle w:val="a4"/>
        <w:widowControl w:val="0"/>
        <w:numPr>
          <w:ilvl w:val="0"/>
          <w:numId w:val="18"/>
        </w:numPr>
        <w:tabs>
          <w:tab w:val="left" w:pos="993"/>
        </w:tabs>
        <w:spacing w:before="0" w:beforeAutospacing="0" w:after="0" w:afterAutospacing="0" w:line="288" w:lineRule="auto"/>
        <w:ind w:left="0" w:firstLine="709"/>
        <w:jc w:val="both"/>
        <w:rPr>
          <w:sz w:val="28"/>
          <w:szCs w:val="28"/>
        </w:rPr>
      </w:pPr>
      <w:r w:rsidRPr="00B07E00">
        <w:rPr>
          <w:rStyle w:val="a5"/>
          <w:sz w:val="28"/>
          <w:szCs w:val="28"/>
        </w:rPr>
        <w:t>е</w:t>
      </w:r>
      <w:r w:rsidR="006A5249" w:rsidRPr="00B07E00">
        <w:rPr>
          <w:rStyle w:val="a5"/>
          <w:sz w:val="28"/>
          <w:szCs w:val="28"/>
        </w:rPr>
        <w:t>мітенти</w:t>
      </w:r>
      <w:r w:rsidR="006A5249" w:rsidRPr="00B07E00">
        <w:rPr>
          <w:sz w:val="28"/>
          <w:szCs w:val="28"/>
        </w:rPr>
        <w:t xml:space="preserve"> </w:t>
      </w:r>
      <w:r w:rsidRPr="002D5824">
        <w:rPr>
          <w:sz w:val="28"/>
          <w:szCs w:val="28"/>
        </w:rPr>
        <w:t>–</w:t>
      </w:r>
      <w:r w:rsidR="006A5249" w:rsidRPr="00B07E00">
        <w:rPr>
          <w:sz w:val="28"/>
          <w:szCs w:val="28"/>
        </w:rPr>
        <w:t xml:space="preserve"> компанії, уряди та інші організації, що випускають цінні папери для залучення капіталу. Емітенти випускають акції, облігації та інші цінні папери, які купують інвестори для отримання доходу.</w:t>
      </w:r>
    </w:p>
    <w:p w:rsidR="002B4A26" w:rsidRDefault="006A5249" w:rsidP="00FB653E">
      <w:pPr>
        <w:pStyle w:val="a4"/>
        <w:widowControl w:val="0"/>
        <w:spacing w:before="0" w:beforeAutospacing="0" w:after="0" w:afterAutospacing="0" w:line="288" w:lineRule="auto"/>
        <w:ind w:firstLine="709"/>
        <w:jc w:val="both"/>
        <w:rPr>
          <w:sz w:val="28"/>
          <w:szCs w:val="28"/>
          <w:lang w:val="uk-UA"/>
        </w:rPr>
      </w:pPr>
      <w:r w:rsidRPr="00B07E00">
        <w:rPr>
          <w:i/>
          <w:sz w:val="28"/>
          <w:szCs w:val="28"/>
        </w:rPr>
        <w:t>Інституції</w:t>
      </w:r>
      <w:r w:rsidRPr="00B07E00">
        <w:rPr>
          <w:sz w:val="28"/>
          <w:szCs w:val="28"/>
        </w:rPr>
        <w:t xml:space="preserve">, такі як банки, страхові компанії, інвестиційні та пенсійні фонди, відіграють важливу роль у функціонуванні фінансових ринків. Вони забезпечують надання кредитів, управління активами, страхування ризиків і підтримку стабільності ринків. </w:t>
      </w:r>
    </w:p>
    <w:p w:rsidR="006A5249" w:rsidRPr="00B07E00" w:rsidRDefault="006A5249" w:rsidP="00FB653E">
      <w:pPr>
        <w:pStyle w:val="a4"/>
        <w:widowControl w:val="0"/>
        <w:spacing w:before="0" w:beforeAutospacing="0" w:after="0" w:afterAutospacing="0" w:line="288" w:lineRule="auto"/>
        <w:ind w:firstLine="709"/>
        <w:jc w:val="both"/>
        <w:rPr>
          <w:sz w:val="28"/>
          <w:szCs w:val="28"/>
        </w:rPr>
      </w:pPr>
      <w:r w:rsidRPr="00B07E00">
        <w:rPr>
          <w:sz w:val="28"/>
          <w:szCs w:val="28"/>
        </w:rPr>
        <w:t>Банки є центральною ланкою фінансової системи, надаючи послуги кредитування та депозитів, а також виконуючи функції платіжних агентів. Інвестиційні фонди, у свою чергу, забезпечують інвесторів можливістю диверсифікувати вкладення.</w:t>
      </w:r>
    </w:p>
    <w:p w:rsidR="006A5249" w:rsidRPr="00FB653E" w:rsidRDefault="006A5249" w:rsidP="00FB653E">
      <w:pPr>
        <w:widowControl w:val="0"/>
        <w:spacing w:after="0" w:line="288" w:lineRule="auto"/>
        <w:ind w:firstLine="709"/>
        <w:rPr>
          <w:rFonts w:ascii="Times New Roman" w:hAnsi="Times New Roman" w:cs="Times New Roman"/>
          <w:sz w:val="24"/>
          <w:szCs w:val="24"/>
          <w:lang w:val="uk-UA"/>
        </w:rPr>
      </w:pPr>
    </w:p>
    <w:p w:rsidR="003B2372" w:rsidRPr="003B2372" w:rsidRDefault="003B2372" w:rsidP="00FB653E">
      <w:pPr>
        <w:widowControl w:val="0"/>
        <w:spacing w:after="0" w:line="288" w:lineRule="auto"/>
        <w:ind w:firstLine="709"/>
        <w:jc w:val="both"/>
        <w:outlineLvl w:val="2"/>
        <w:rPr>
          <w:rFonts w:ascii="Times New Roman" w:eastAsia="Times New Roman" w:hAnsi="Times New Roman" w:cs="Times New Roman"/>
          <w:b/>
          <w:bCs/>
          <w:sz w:val="28"/>
          <w:szCs w:val="28"/>
        </w:rPr>
      </w:pPr>
      <w:r w:rsidRPr="003B2372">
        <w:rPr>
          <w:rFonts w:ascii="Times New Roman" w:eastAsia="Times New Roman" w:hAnsi="Times New Roman" w:cs="Times New Roman"/>
          <w:b/>
          <w:bCs/>
          <w:sz w:val="28"/>
          <w:szCs w:val="28"/>
        </w:rPr>
        <w:t>2. Регуляція та інститути нагляду за фінансовими ринками у ЄС</w:t>
      </w:r>
    </w:p>
    <w:p w:rsidR="003B2372" w:rsidRPr="0059681C" w:rsidRDefault="0059681C" w:rsidP="00FB653E">
      <w:pPr>
        <w:widowControl w:val="0"/>
        <w:spacing w:after="0" w:line="288" w:lineRule="auto"/>
        <w:ind w:firstLine="709"/>
        <w:jc w:val="both"/>
        <w:rPr>
          <w:rFonts w:ascii="Times New Roman" w:eastAsia="Times New Roman" w:hAnsi="Times New Roman" w:cs="Times New Roman"/>
          <w:sz w:val="28"/>
          <w:szCs w:val="28"/>
          <w:lang w:val="uk-UA"/>
        </w:rPr>
      </w:pPr>
      <w:r w:rsidRPr="0059681C">
        <w:rPr>
          <w:rFonts w:ascii="Times New Roman" w:hAnsi="Times New Roman" w:cs="Times New Roman"/>
          <w:sz w:val="28"/>
          <w:szCs w:val="28"/>
        </w:rPr>
        <w:t xml:space="preserve">Регулювання фінансових ринків у ЄС є </w:t>
      </w:r>
      <w:r w:rsidR="005F3630">
        <w:rPr>
          <w:rFonts w:ascii="Times New Roman" w:hAnsi="Times New Roman" w:cs="Times New Roman"/>
          <w:sz w:val="28"/>
          <w:szCs w:val="28"/>
          <w:lang w:val="uk-UA"/>
        </w:rPr>
        <w:t>важливим</w:t>
      </w:r>
      <w:r w:rsidRPr="0059681C">
        <w:rPr>
          <w:rFonts w:ascii="Times New Roman" w:hAnsi="Times New Roman" w:cs="Times New Roman"/>
          <w:sz w:val="28"/>
          <w:szCs w:val="28"/>
        </w:rPr>
        <w:t xml:space="preserve"> компонентом забезпечення стабільності фінансової системи та захисту інтересів усіх учасників ринку. Європейська регуляція зосереджується на досягненні кількох основних цілей, які підтримують надійність і прозорість фінансових ринків (табл. 1).</w:t>
      </w:r>
    </w:p>
    <w:p w:rsidR="0059681C" w:rsidRDefault="0059681C" w:rsidP="00FB653E">
      <w:pPr>
        <w:widowControl w:val="0"/>
        <w:spacing w:after="0" w:line="288" w:lineRule="auto"/>
        <w:ind w:firstLine="709"/>
        <w:jc w:val="both"/>
        <w:rPr>
          <w:rFonts w:ascii="Times New Roman" w:hAnsi="Times New Roman" w:cs="Times New Roman"/>
          <w:sz w:val="28"/>
          <w:szCs w:val="28"/>
          <w:lang w:val="uk-UA"/>
        </w:rPr>
      </w:pPr>
      <w:r w:rsidRPr="0059681C">
        <w:rPr>
          <w:rFonts w:ascii="Times New Roman" w:eastAsia="Times New Roman" w:hAnsi="Times New Roman" w:cs="Times New Roman"/>
          <w:sz w:val="28"/>
          <w:szCs w:val="28"/>
          <w:lang w:val="uk-UA"/>
        </w:rPr>
        <w:t xml:space="preserve">Таблиця 1 </w:t>
      </w:r>
      <w:r w:rsidR="00836838" w:rsidRPr="00836838">
        <w:rPr>
          <w:rFonts w:ascii="Times New Roman" w:hAnsi="Times New Roman" w:cs="Times New Roman"/>
          <w:sz w:val="28"/>
          <w:szCs w:val="28"/>
        </w:rPr>
        <w:t>–</w:t>
      </w:r>
      <w:r w:rsidR="00836838" w:rsidRPr="00836838">
        <w:rPr>
          <w:rFonts w:ascii="Times New Roman" w:hAnsi="Times New Roman" w:cs="Times New Roman"/>
          <w:sz w:val="28"/>
          <w:szCs w:val="28"/>
          <w:lang w:val="uk-UA"/>
        </w:rPr>
        <w:t xml:space="preserve"> </w:t>
      </w:r>
      <w:r w:rsidRPr="0059681C">
        <w:rPr>
          <w:rFonts w:ascii="Times New Roman" w:hAnsi="Times New Roman" w:cs="Times New Roman"/>
          <w:sz w:val="28"/>
          <w:szCs w:val="28"/>
        </w:rPr>
        <w:t>Основні цілі регуляції фінансових ринків у ЄС</w:t>
      </w:r>
    </w:p>
    <w:tbl>
      <w:tblPr>
        <w:tblStyle w:val="aa"/>
        <w:tblW w:w="10314" w:type="dxa"/>
        <w:tblLook w:val="04A0"/>
      </w:tblPr>
      <w:tblGrid>
        <w:gridCol w:w="3085"/>
        <w:gridCol w:w="7229"/>
      </w:tblGrid>
      <w:tr w:rsidR="0059681C" w:rsidRPr="00FB653E" w:rsidTr="00213E16">
        <w:tc>
          <w:tcPr>
            <w:tcW w:w="3085" w:type="dxa"/>
            <w:hideMark/>
          </w:tcPr>
          <w:p w:rsidR="0059681C" w:rsidRPr="00FB653E" w:rsidRDefault="0059681C" w:rsidP="00FB653E">
            <w:pPr>
              <w:widowControl w:val="0"/>
              <w:jc w:val="center"/>
              <w:rPr>
                <w:rFonts w:ascii="Times New Roman" w:eastAsia="Times New Roman" w:hAnsi="Times New Roman" w:cs="Times New Roman"/>
                <w:bCs/>
              </w:rPr>
            </w:pPr>
            <w:r w:rsidRPr="00FB653E">
              <w:rPr>
                <w:rFonts w:ascii="Times New Roman" w:eastAsia="Times New Roman" w:hAnsi="Times New Roman" w:cs="Times New Roman"/>
                <w:bCs/>
              </w:rPr>
              <w:t>Основні цілі регуляції фінансових ринків у ЄС</w:t>
            </w:r>
          </w:p>
        </w:tc>
        <w:tc>
          <w:tcPr>
            <w:tcW w:w="7229" w:type="dxa"/>
            <w:hideMark/>
          </w:tcPr>
          <w:p w:rsidR="0059681C" w:rsidRPr="00FB653E" w:rsidRDefault="0059681C" w:rsidP="00FB653E">
            <w:pPr>
              <w:widowControl w:val="0"/>
              <w:jc w:val="center"/>
              <w:rPr>
                <w:rFonts w:ascii="Times New Roman" w:eastAsia="Times New Roman" w:hAnsi="Times New Roman" w:cs="Times New Roman"/>
                <w:bCs/>
                <w:lang w:val="uk-UA"/>
              </w:rPr>
            </w:pPr>
            <w:r w:rsidRPr="00FB653E">
              <w:rPr>
                <w:rFonts w:ascii="Times New Roman" w:eastAsia="Times New Roman" w:hAnsi="Times New Roman" w:cs="Times New Roman"/>
                <w:bCs/>
                <w:lang w:val="uk-UA"/>
              </w:rPr>
              <w:t>Характеристика</w:t>
            </w:r>
          </w:p>
        </w:tc>
      </w:tr>
      <w:tr w:rsidR="0059681C" w:rsidRPr="00FB653E" w:rsidTr="00213E16">
        <w:tc>
          <w:tcPr>
            <w:tcW w:w="3085" w:type="dxa"/>
            <w:hideMark/>
          </w:tcPr>
          <w:p w:rsidR="0059681C" w:rsidRPr="00FB653E" w:rsidRDefault="0059681C" w:rsidP="00FB653E">
            <w:pPr>
              <w:widowControl w:val="0"/>
              <w:rPr>
                <w:rFonts w:ascii="Times New Roman" w:eastAsia="Times New Roman" w:hAnsi="Times New Roman" w:cs="Times New Roman"/>
              </w:rPr>
            </w:pPr>
            <w:r w:rsidRPr="00FB653E">
              <w:rPr>
                <w:rFonts w:ascii="Times New Roman" w:eastAsia="Times New Roman" w:hAnsi="Times New Roman" w:cs="Times New Roman"/>
              </w:rPr>
              <w:t>Захист інвесторів</w:t>
            </w:r>
          </w:p>
        </w:tc>
        <w:tc>
          <w:tcPr>
            <w:tcW w:w="7229" w:type="dxa"/>
            <w:hideMark/>
          </w:tcPr>
          <w:p w:rsidR="0059681C" w:rsidRPr="00FB653E" w:rsidRDefault="0059681C" w:rsidP="00FB653E">
            <w:pPr>
              <w:widowControl w:val="0"/>
              <w:jc w:val="both"/>
              <w:rPr>
                <w:rFonts w:ascii="Times New Roman" w:eastAsia="Times New Roman" w:hAnsi="Times New Roman" w:cs="Times New Roman"/>
              </w:rPr>
            </w:pPr>
            <w:r w:rsidRPr="00FB653E">
              <w:rPr>
                <w:rFonts w:ascii="Times New Roman" w:eastAsia="Times New Roman" w:hAnsi="Times New Roman" w:cs="Times New Roman"/>
              </w:rPr>
              <w:t>Регуляція забезпечує прозорість умов інвестицій і надає інвесторам доступ до повної інформації про ризики, пов'язані з фінансовими продуктами. Це включає мінімальні стандарти розкриття інформації та спеціальні заходи для запобігання шахрайству.</w:t>
            </w:r>
          </w:p>
        </w:tc>
      </w:tr>
      <w:tr w:rsidR="0059681C" w:rsidRPr="00FB653E" w:rsidTr="00213E16">
        <w:tc>
          <w:tcPr>
            <w:tcW w:w="3085" w:type="dxa"/>
            <w:hideMark/>
          </w:tcPr>
          <w:p w:rsidR="0059681C" w:rsidRPr="00FB653E" w:rsidRDefault="0059681C" w:rsidP="00FB653E">
            <w:pPr>
              <w:widowControl w:val="0"/>
              <w:rPr>
                <w:rFonts w:ascii="Times New Roman" w:eastAsia="Times New Roman" w:hAnsi="Times New Roman" w:cs="Times New Roman"/>
              </w:rPr>
            </w:pPr>
            <w:r w:rsidRPr="00FB653E">
              <w:rPr>
                <w:rFonts w:ascii="Times New Roman" w:eastAsia="Times New Roman" w:hAnsi="Times New Roman" w:cs="Times New Roman"/>
              </w:rPr>
              <w:t>Забезпечення прозорості фінансових операцій</w:t>
            </w:r>
          </w:p>
        </w:tc>
        <w:tc>
          <w:tcPr>
            <w:tcW w:w="7229" w:type="dxa"/>
            <w:hideMark/>
          </w:tcPr>
          <w:p w:rsidR="0059681C" w:rsidRPr="00FB653E" w:rsidRDefault="0059681C" w:rsidP="00FB653E">
            <w:pPr>
              <w:widowControl w:val="0"/>
              <w:jc w:val="both"/>
              <w:rPr>
                <w:rFonts w:ascii="Times New Roman" w:eastAsia="Times New Roman" w:hAnsi="Times New Roman" w:cs="Times New Roman"/>
              </w:rPr>
            </w:pPr>
            <w:r w:rsidRPr="00FB653E">
              <w:rPr>
                <w:rFonts w:ascii="Times New Roman" w:eastAsia="Times New Roman" w:hAnsi="Times New Roman" w:cs="Times New Roman"/>
              </w:rPr>
              <w:t>Європейська регуляція вимагає від компаній регулярного звітування та забезпечення доступу до даних про стан фінансових ринків, що дозволяє зменшити інформаційну асиметрію та захистити інвесторів від маніпуляцій.</w:t>
            </w:r>
          </w:p>
        </w:tc>
      </w:tr>
      <w:tr w:rsidR="0059681C" w:rsidRPr="00FB653E" w:rsidTr="00213E16">
        <w:tc>
          <w:tcPr>
            <w:tcW w:w="3085" w:type="dxa"/>
            <w:hideMark/>
          </w:tcPr>
          <w:p w:rsidR="0059681C" w:rsidRPr="00FB653E" w:rsidRDefault="0059681C" w:rsidP="00FB653E">
            <w:pPr>
              <w:widowControl w:val="0"/>
              <w:rPr>
                <w:rFonts w:ascii="Times New Roman" w:eastAsia="Times New Roman" w:hAnsi="Times New Roman" w:cs="Times New Roman"/>
              </w:rPr>
            </w:pPr>
            <w:r w:rsidRPr="00FB653E">
              <w:rPr>
                <w:rFonts w:ascii="Times New Roman" w:eastAsia="Times New Roman" w:hAnsi="Times New Roman" w:cs="Times New Roman"/>
              </w:rPr>
              <w:t>Зниження ризиків для стабільності фінансової системи</w:t>
            </w:r>
          </w:p>
        </w:tc>
        <w:tc>
          <w:tcPr>
            <w:tcW w:w="7229" w:type="dxa"/>
            <w:hideMark/>
          </w:tcPr>
          <w:p w:rsidR="0059681C" w:rsidRPr="00FB653E" w:rsidRDefault="0059681C" w:rsidP="00FB653E">
            <w:pPr>
              <w:widowControl w:val="0"/>
              <w:jc w:val="both"/>
              <w:rPr>
                <w:rFonts w:ascii="Times New Roman" w:eastAsia="Times New Roman" w:hAnsi="Times New Roman" w:cs="Times New Roman"/>
              </w:rPr>
            </w:pPr>
            <w:r w:rsidRPr="00FB653E">
              <w:rPr>
                <w:rFonts w:ascii="Times New Roman" w:eastAsia="Times New Roman" w:hAnsi="Times New Roman" w:cs="Times New Roman"/>
              </w:rPr>
              <w:t>Регулювання спрямоване на обмеження надмірних спекуляцій і впровадження стандартів, які зменшують ризики втрати капіталу. Наприклад, директиви ЄС встановлюють жорсткі вимоги до достатності капіталу банків і фінансових установ.</w:t>
            </w:r>
          </w:p>
        </w:tc>
      </w:tr>
      <w:tr w:rsidR="0059681C" w:rsidRPr="00FB653E" w:rsidTr="00213E16">
        <w:tc>
          <w:tcPr>
            <w:tcW w:w="3085" w:type="dxa"/>
            <w:hideMark/>
          </w:tcPr>
          <w:p w:rsidR="0059681C" w:rsidRPr="00FB653E" w:rsidRDefault="0059681C" w:rsidP="00FB653E">
            <w:pPr>
              <w:widowControl w:val="0"/>
              <w:rPr>
                <w:rFonts w:ascii="Times New Roman" w:eastAsia="Times New Roman" w:hAnsi="Times New Roman" w:cs="Times New Roman"/>
              </w:rPr>
            </w:pPr>
            <w:r w:rsidRPr="00FB653E">
              <w:rPr>
                <w:rFonts w:ascii="Times New Roman" w:eastAsia="Times New Roman" w:hAnsi="Times New Roman" w:cs="Times New Roman"/>
              </w:rPr>
              <w:t xml:space="preserve">Підтримка загальної </w:t>
            </w:r>
            <w:r w:rsidRPr="00FB653E">
              <w:rPr>
                <w:rFonts w:ascii="Times New Roman" w:eastAsia="Times New Roman" w:hAnsi="Times New Roman" w:cs="Times New Roman"/>
              </w:rPr>
              <w:lastRenderedPageBreak/>
              <w:t>стабільності фінансової системи</w:t>
            </w:r>
          </w:p>
        </w:tc>
        <w:tc>
          <w:tcPr>
            <w:tcW w:w="7229" w:type="dxa"/>
            <w:hideMark/>
          </w:tcPr>
          <w:p w:rsidR="0059681C" w:rsidRPr="00FB653E" w:rsidRDefault="0059681C" w:rsidP="00FB653E">
            <w:pPr>
              <w:widowControl w:val="0"/>
              <w:jc w:val="both"/>
              <w:rPr>
                <w:rFonts w:ascii="Times New Roman" w:eastAsia="Times New Roman" w:hAnsi="Times New Roman" w:cs="Times New Roman"/>
              </w:rPr>
            </w:pPr>
            <w:r w:rsidRPr="00FB653E">
              <w:rPr>
                <w:rFonts w:ascii="Times New Roman" w:eastAsia="Times New Roman" w:hAnsi="Times New Roman" w:cs="Times New Roman"/>
              </w:rPr>
              <w:lastRenderedPageBreak/>
              <w:t xml:space="preserve">Регулятори ЄС націлені на виявлення системних ризиків і створення </w:t>
            </w:r>
            <w:r w:rsidRPr="00FB653E">
              <w:rPr>
                <w:rFonts w:ascii="Times New Roman" w:eastAsia="Times New Roman" w:hAnsi="Times New Roman" w:cs="Times New Roman"/>
              </w:rPr>
              <w:lastRenderedPageBreak/>
              <w:t>інструментів для швидкої реакції, таких як вимоги до ліквідності та стрес-тестування банків та інших фінансових установ, що запобігає поширенню кризових явищ.</w:t>
            </w:r>
          </w:p>
        </w:tc>
      </w:tr>
    </w:tbl>
    <w:p w:rsidR="00213E16" w:rsidRDefault="00213E16" w:rsidP="00FB653E">
      <w:pPr>
        <w:widowControl w:val="0"/>
        <w:spacing w:after="0" w:line="288" w:lineRule="auto"/>
        <w:ind w:firstLine="709"/>
        <w:jc w:val="both"/>
        <w:rPr>
          <w:rFonts w:ascii="Times New Roman" w:hAnsi="Times New Roman" w:cs="Times New Roman"/>
          <w:sz w:val="28"/>
          <w:szCs w:val="28"/>
          <w:lang w:val="uk-UA"/>
        </w:rPr>
      </w:pPr>
    </w:p>
    <w:p w:rsidR="003B2372" w:rsidRPr="0059681C" w:rsidRDefault="0059681C" w:rsidP="00FB653E">
      <w:pPr>
        <w:widowControl w:val="0"/>
        <w:spacing w:after="0" w:line="288" w:lineRule="auto"/>
        <w:ind w:firstLine="709"/>
        <w:jc w:val="both"/>
        <w:rPr>
          <w:rFonts w:ascii="Times New Roman" w:eastAsia="Times New Roman" w:hAnsi="Times New Roman" w:cs="Times New Roman"/>
          <w:sz w:val="28"/>
          <w:szCs w:val="28"/>
          <w:lang w:val="uk-UA"/>
        </w:rPr>
      </w:pPr>
      <w:r w:rsidRPr="0059681C">
        <w:rPr>
          <w:rFonts w:ascii="Times New Roman" w:hAnsi="Times New Roman" w:cs="Times New Roman"/>
          <w:sz w:val="28"/>
          <w:szCs w:val="28"/>
        </w:rPr>
        <w:t>Принципи регуляції сприяють ефективному регулюванню фінансових ринків, забезпечуючи доступ учасників ринку до необхідної інформації, рівноправні умови та гнучкість у кризових ситуаціях (табл. 2).</w:t>
      </w:r>
    </w:p>
    <w:p w:rsidR="00213E16" w:rsidRDefault="00213E16" w:rsidP="00FB653E">
      <w:pPr>
        <w:widowControl w:val="0"/>
        <w:spacing w:after="0" w:line="288" w:lineRule="auto"/>
        <w:ind w:firstLine="709"/>
        <w:jc w:val="both"/>
        <w:rPr>
          <w:rFonts w:ascii="Times New Roman" w:eastAsia="Times New Roman" w:hAnsi="Times New Roman" w:cs="Times New Roman"/>
          <w:sz w:val="28"/>
          <w:szCs w:val="28"/>
          <w:lang w:val="uk-UA"/>
        </w:rPr>
      </w:pPr>
    </w:p>
    <w:p w:rsidR="0059681C" w:rsidRDefault="0059681C" w:rsidP="00FB653E">
      <w:pPr>
        <w:widowControl w:val="0"/>
        <w:spacing w:after="0" w:line="288" w:lineRule="auto"/>
        <w:ind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Таблиця </w:t>
      </w:r>
      <w:r w:rsidRPr="0059681C">
        <w:rPr>
          <w:rFonts w:ascii="Times New Roman" w:eastAsia="Times New Roman" w:hAnsi="Times New Roman" w:cs="Times New Roman"/>
          <w:sz w:val="28"/>
          <w:szCs w:val="28"/>
          <w:lang w:val="uk-UA"/>
        </w:rPr>
        <w:t xml:space="preserve">2 </w:t>
      </w:r>
      <w:r w:rsidR="00836838" w:rsidRPr="00836838">
        <w:rPr>
          <w:rFonts w:ascii="Times New Roman" w:hAnsi="Times New Roman" w:cs="Times New Roman"/>
          <w:sz w:val="28"/>
          <w:szCs w:val="28"/>
        </w:rPr>
        <w:t>–</w:t>
      </w:r>
      <w:r w:rsidR="00836838" w:rsidRPr="00836838">
        <w:rPr>
          <w:rFonts w:ascii="Times New Roman" w:hAnsi="Times New Roman" w:cs="Times New Roman"/>
          <w:sz w:val="28"/>
          <w:szCs w:val="28"/>
          <w:lang w:val="uk-UA"/>
        </w:rPr>
        <w:t xml:space="preserve"> </w:t>
      </w:r>
      <w:r w:rsidRPr="0059681C">
        <w:rPr>
          <w:rFonts w:ascii="Times New Roman" w:hAnsi="Times New Roman" w:cs="Times New Roman"/>
          <w:sz w:val="28"/>
          <w:szCs w:val="28"/>
        </w:rPr>
        <w:t>Основні принципи регуляції фінансових ринків у ЄС</w:t>
      </w:r>
    </w:p>
    <w:tbl>
      <w:tblPr>
        <w:tblStyle w:val="aa"/>
        <w:tblW w:w="0" w:type="auto"/>
        <w:tblLook w:val="04A0"/>
      </w:tblPr>
      <w:tblGrid>
        <w:gridCol w:w="3510"/>
        <w:gridCol w:w="6627"/>
      </w:tblGrid>
      <w:tr w:rsidR="0059681C" w:rsidRPr="0059681C" w:rsidTr="0059681C">
        <w:tc>
          <w:tcPr>
            <w:tcW w:w="3510" w:type="dxa"/>
            <w:hideMark/>
          </w:tcPr>
          <w:p w:rsidR="0059681C" w:rsidRPr="0059681C" w:rsidRDefault="0059681C" w:rsidP="00FB653E">
            <w:pPr>
              <w:widowControl w:val="0"/>
              <w:jc w:val="center"/>
              <w:rPr>
                <w:rFonts w:ascii="Times New Roman" w:eastAsia="Times New Roman" w:hAnsi="Times New Roman" w:cs="Times New Roman"/>
                <w:bCs/>
              </w:rPr>
            </w:pPr>
            <w:r w:rsidRPr="0059681C">
              <w:rPr>
                <w:rFonts w:ascii="Times New Roman" w:eastAsia="Times New Roman" w:hAnsi="Times New Roman" w:cs="Times New Roman"/>
                <w:bCs/>
              </w:rPr>
              <w:t>Основні принципи регуляції фінансових ринків у ЄС</w:t>
            </w:r>
          </w:p>
        </w:tc>
        <w:tc>
          <w:tcPr>
            <w:tcW w:w="6627" w:type="dxa"/>
            <w:hideMark/>
          </w:tcPr>
          <w:p w:rsidR="0059681C" w:rsidRPr="0059681C" w:rsidRDefault="0059681C" w:rsidP="00FB653E">
            <w:pPr>
              <w:widowControl w:val="0"/>
              <w:jc w:val="center"/>
              <w:rPr>
                <w:rFonts w:ascii="Times New Roman" w:eastAsia="Times New Roman" w:hAnsi="Times New Roman" w:cs="Times New Roman"/>
                <w:bCs/>
              </w:rPr>
            </w:pPr>
            <w:r w:rsidRPr="0059681C">
              <w:rPr>
                <w:rFonts w:ascii="Times New Roman" w:eastAsia="Times New Roman" w:hAnsi="Times New Roman" w:cs="Times New Roman"/>
                <w:bCs/>
              </w:rPr>
              <w:t>Опис</w:t>
            </w:r>
          </w:p>
        </w:tc>
      </w:tr>
      <w:tr w:rsidR="0059681C" w:rsidRPr="0059681C" w:rsidTr="0059681C">
        <w:tc>
          <w:tcPr>
            <w:tcW w:w="3510" w:type="dxa"/>
            <w:hideMark/>
          </w:tcPr>
          <w:p w:rsidR="0059681C" w:rsidRPr="0059681C" w:rsidRDefault="0059681C" w:rsidP="00FB653E">
            <w:pPr>
              <w:widowControl w:val="0"/>
              <w:rPr>
                <w:rFonts w:ascii="Times New Roman" w:eastAsia="Times New Roman" w:hAnsi="Times New Roman" w:cs="Times New Roman"/>
              </w:rPr>
            </w:pPr>
            <w:r w:rsidRPr="0059681C">
              <w:rPr>
                <w:rFonts w:ascii="Times New Roman" w:eastAsia="Times New Roman" w:hAnsi="Times New Roman" w:cs="Times New Roman"/>
              </w:rPr>
              <w:t>Відкритість і прозорість</w:t>
            </w:r>
          </w:p>
        </w:tc>
        <w:tc>
          <w:tcPr>
            <w:tcW w:w="6627" w:type="dxa"/>
            <w:hideMark/>
          </w:tcPr>
          <w:p w:rsidR="0059681C" w:rsidRPr="0059681C" w:rsidRDefault="0059681C" w:rsidP="00FB653E">
            <w:pPr>
              <w:widowControl w:val="0"/>
              <w:jc w:val="both"/>
              <w:rPr>
                <w:rFonts w:ascii="Times New Roman" w:eastAsia="Times New Roman" w:hAnsi="Times New Roman" w:cs="Times New Roman"/>
              </w:rPr>
            </w:pPr>
            <w:r w:rsidRPr="0059681C">
              <w:rPr>
                <w:rFonts w:ascii="Times New Roman" w:eastAsia="Times New Roman" w:hAnsi="Times New Roman" w:cs="Times New Roman"/>
              </w:rPr>
              <w:t>Усі ринкові операції повинні бути прозорими. Інвестори мають доступ до цін, обсягів торгівлі та умов угод у режимі реального часу, що забезпечує відкритість ринку.</w:t>
            </w:r>
          </w:p>
        </w:tc>
      </w:tr>
      <w:tr w:rsidR="0059681C" w:rsidRPr="0059681C" w:rsidTr="0059681C">
        <w:tc>
          <w:tcPr>
            <w:tcW w:w="3510" w:type="dxa"/>
            <w:hideMark/>
          </w:tcPr>
          <w:p w:rsidR="0059681C" w:rsidRPr="0059681C" w:rsidRDefault="0059681C" w:rsidP="00FB653E">
            <w:pPr>
              <w:widowControl w:val="0"/>
              <w:rPr>
                <w:rFonts w:ascii="Times New Roman" w:eastAsia="Times New Roman" w:hAnsi="Times New Roman" w:cs="Times New Roman"/>
              </w:rPr>
            </w:pPr>
            <w:r w:rsidRPr="0059681C">
              <w:rPr>
                <w:rFonts w:ascii="Times New Roman" w:eastAsia="Times New Roman" w:hAnsi="Times New Roman" w:cs="Times New Roman"/>
              </w:rPr>
              <w:t>Гармонізація норм</w:t>
            </w:r>
          </w:p>
        </w:tc>
        <w:tc>
          <w:tcPr>
            <w:tcW w:w="6627" w:type="dxa"/>
            <w:hideMark/>
          </w:tcPr>
          <w:p w:rsidR="0059681C" w:rsidRPr="0059681C" w:rsidRDefault="0059681C" w:rsidP="00FB653E">
            <w:pPr>
              <w:widowControl w:val="0"/>
              <w:jc w:val="both"/>
              <w:rPr>
                <w:rFonts w:ascii="Times New Roman" w:eastAsia="Times New Roman" w:hAnsi="Times New Roman" w:cs="Times New Roman"/>
              </w:rPr>
            </w:pPr>
            <w:r w:rsidRPr="0059681C">
              <w:rPr>
                <w:rFonts w:ascii="Times New Roman" w:eastAsia="Times New Roman" w:hAnsi="Times New Roman" w:cs="Times New Roman"/>
              </w:rPr>
              <w:t>ЄС запроваджує єдині стандарти для всіх учасників ринку, незалежно від країни реєстрації, що сприяє інтеграції фінансових ринків та знижує можливість регуляторного арбітражу.</w:t>
            </w:r>
          </w:p>
        </w:tc>
      </w:tr>
      <w:tr w:rsidR="0059681C" w:rsidRPr="0059681C" w:rsidTr="0059681C">
        <w:tc>
          <w:tcPr>
            <w:tcW w:w="3510" w:type="dxa"/>
            <w:hideMark/>
          </w:tcPr>
          <w:p w:rsidR="0059681C" w:rsidRPr="0059681C" w:rsidRDefault="0059681C" w:rsidP="00FB653E">
            <w:pPr>
              <w:widowControl w:val="0"/>
              <w:rPr>
                <w:rFonts w:ascii="Times New Roman" w:eastAsia="Times New Roman" w:hAnsi="Times New Roman" w:cs="Times New Roman"/>
              </w:rPr>
            </w:pPr>
            <w:r w:rsidRPr="0059681C">
              <w:rPr>
                <w:rFonts w:ascii="Times New Roman" w:eastAsia="Times New Roman" w:hAnsi="Times New Roman" w:cs="Times New Roman"/>
              </w:rPr>
              <w:t>Пропорційність</w:t>
            </w:r>
          </w:p>
        </w:tc>
        <w:tc>
          <w:tcPr>
            <w:tcW w:w="6627" w:type="dxa"/>
            <w:hideMark/>
          </w:tcPr>
          <w:p w:rsidR="0059681C" w:rsidRPr="0059681C" w:rsidRDefault="0059681C" w:rsidP="00FB653E">
            <w:pPr>
              <w:widowControl w:val="0"/>
              <w:jc w:val="both"/>
              <w:rPr>
                <w:rFonts w:ascii="Times New Roman" w:eastAsia="Times New Roman" w:hAnsi="Times New Roman" w:cs="Times New Roman"/>
              </w:rPr>
            </w:pPr>
            <w:r w:rsidRPr="0059681C">
              <w:rPr>
                <w:rFonts w:ascii="Times New Roman" w:eastAsia="Times New Roman" w:hAnsi="Times New Roman" w:cs="Times New Roman"/>
              </w:rPr>
              <w:t>Регулювання враховує розмір і можливості фінансових інститутів: менші компанії мають спрощені вимоги, тоді як для великих ринкових гравців застосовуються більш жорсткі норми.</w:t>
            </w:r>
          </w:p>
        </w:tc>
      </w:tr>
      <w:tr w:rsidR="0059681C" w:rsidRPr="0059681C" w:rsidTr="0059681C">
        <w:tc>
          <w:tcPr>
            <w:tcW w:w="3510" w:type="dxa"/>
            <w:hideMark/>
          </w:tcPr>
          <w:p w:rsidR="0059681C" w:rsidRPr="0059681C" w:rsidRDefault="0059681C" w:rsidP="00FB653E">
            <w:pPr>
              <w:widowControl w:val="0"/>
              <w:rPr>
                <w:rFonts w:ascii="Times New Roman" w:eastAsia="Times New Roman" w:hAnsi="Times New Roman" w:cs="Times New Roman"/>
              </w:rPr>
            </w:pPr>
            <w:r w:rsidRPr="0059681C">
              <w:rPr>
                <w:rFonts w:ascii="Times New Roman" w:eastAsia="Times New Roman" w:hAnsi="Times New Roman" w:cs="Times New Roman"/>
              </w:rPr>
              <w:t>Ефективність і гнучкість</w:t>
            </w:r>
          </w:p>
        </w:tc>
        <w:tc>
          <w:tcPr>
            <w:tcW w:w="6627" w:type="dxa"/>
            <w:hideMark/>
          </w:tcPr>
          <w:p w:rsidR="0059681C" w:rsidRPr="0059681C" w:rsidRDefault="0059681C" w:rsidP="00FB653E">
            <w:pPr>
              <w:widowControl w:val="0"/>
              <w:jc w:val="both"/>
              <w:rPr>
                <w:rFonts w:ascii="Times New Roman" w:eastAsia="Times New Roman" w:hAnsi="Times New Roman" w:cs="Times New Roman"/>
              </w:rPr>
            </w:pPr>
            <w:r w:rsidRPr="0059681C">
              <w:rPr>
                <w:rFonts w:ascii="Times New Roman" w:eastAsia="Times New Roman" w:hAnsi="Times New Roman" w:cs="Times New Roman"/>
              </w:rPr>
              <w:t>Регулятивна система здатна адаптуватися до змін ринку, включаючи фінансові кризи чи розвиток нових технологій, що вимагає швидкого оновлення стандартів.</w:t>
            </w:r>
          </w:p>
        </w:tc>
      </w:tr>
    </w:tbl>
    <w:p w:rsidR="0059681C" w:rsidRDefault="0059681C" w:rsidP="00FB653E">
      <w:pPr>
        <w:widowControl w:val="0"/>
        <w:spacing w:after="0" w:line="288" w:lineRule="auto"/>
        <w:ind w:firstLine="709"/>
        <w:jc w:val="both"/>
        <w:rPr>
          <w:rFonts w:ascii="Times New Roman" w:hAnsi="Times New Roman" w:cs="Times New Roman"/>
          <w:sz w:val="28"/>
          <w:szCs w:val="28"/>
          <w:lang w:val="uk-UA"/>
        </w:rPr>
      </w:pPr>
    </w:p>
    <w:p w:rsidR="00AA4C36" w:rsidRPr="00AA4C36"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AA4C36">
        <w:rPr>
          <w:rFonts w:ascii="Times New Roman" w:eastAsia="Times New Roman" w:hAnsi="Times New Roman" w:cs="Times New Roman"/>
          <w:sz w:val="28"/>
          <w:szCs w:val="28"/>
        </w:rPr>
        <w:t xml:space="preserve">Для забезпечення надійного регулювання та контролю над фінансовими ринками у ЄС створено </w:t>
      </w:r>
      <w:r w:rsidRPr="00FB653E">
        <w:rPr>
          <w:rFonts w:ascii="Times New Roman" w:eastAsia="Times New Roman" w:hAnsi="Times New Roman" w:cs="Times New Roman"/>
          <w:i/>
          <w:sz w:val="28"/>
          <w:szCs w:val="28"/>
        </w:rPr>
        <w:t>Європейську систему фінансового нагляду (ESFS)</w:t>
      </w:r>
      <w:r w:rsidRPr="00AA4C36">
        <w:rPr>
          <w:rFonts w:ascii="Times New Roman" w:eastAsia="Times New Roman" w:hAnsi="Times New Roman" w:cs="Times New Roman"/>
          <w:sz w:val="28"/>
          <w:szCs w:val="28"/>
        </w:rPr>
        <w:t xml:space="preserve">, яка діє як на рівні Союзу, так і в країнах-членах. ESFS включає </w:t>
      </w:r>
      <w:r w:rsidRPr="00FB653E">
        <w:rPr>
          <w:rFonts w:ascii="Times New Roman" w:eastAsia="Times New Roman" w:hAnsi="Times New Roman" w:cs="Times New Roman"/>
          <w:i/>
          <w:sz w:val="28"/>
          <w:szCs w:val="28"/>
        </w:rPr>
        <w:t>три головні організації</w:t>
      </w:r>
      <w:r w:rsidRPr="00AA4C36">
        <w:rPr>
          <w:rFonts w:ascii="Times New Roman" w:eastAsia="Times New Roman" w:hAnsi="Times New Roman" w:cs="Times New Roman"/>
          <w:sz w:val="28"/>
          <w:szCs w:val="28"/>
        </w:rPr>
        <w:t>, кожна з яких має свою спеціалізацію у нагляді та регуляції окремих секторів.</w:t>
      </w:r>
    </w:p>
    <w:p w:rsidR="00AA4C36" w:rsidRPr="00AA4C36"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AA4C36">
        <w:rPr>
          <w:rFonts w:ascii="Times New Roman" w:eastAsia="Times New Roman" w:hAnsi="Times New Roman" w:cs="Times New Roman"/>
          <w:b/>
          <w:bCs/>
          <w:sz w:val="28"/>
          <w:szCs w:val="28"/>
        </w:rPr>
        <w:t>Європейський орган з цінних паперів і ринків (ESMA)</w:t>
      </w:r>
      <w:r w:rsidRPr="00AA4C36">
        <w:rPr>
          <w:rFonts w:ascii="Times New Roman" w:eastAsia="Times New Roman" w:hAnsi="Times New Roman" w:cs="Times New Roman"/>
          <w:b/>
          <w:bCs/>
          <w:sz w:val="28"/>
          <w:szCs w:val="28"/>
          <w:lang w:val="uk-UA"/>
        </w:rPr>
        <w:t xml:space="preserve">. </w:t>
      </w:r>
      <w:r w:rsidRPr="00AA4C36">
        <w:rPr>
          <w:rFonts w:ascii="Times New Roman" w:eastAsia="Times New Roman" w:hAnsi="Times New Roman" w:cs="Times New Roman"/>
          <w:sz w:val="28"/>
          <w:szCs w:val="28"/>
        </w:rPr>
        <w:t xml:space="preserve">Відіграє </w:t>
      </w:r>
      <w:r w:rsidR="00FB653E">
        <w:rPr>
          <w:rFonts w:ascii="Times New Roman" w:eastAsia="Times New Roman" w:hAnsi="Times New Roman" w:cs="Times New Roman"/>
          <w:sz w:val="28"/>
          <w:szCs w:val="28"/>
          <w:lang w:val="uk-UA"/>
        </w:rPr>
        <w:t xml:space="preserve">важливу </w:t>
      </w:r>
      <w:r w:rsidRPr="00AA4C36">
        <w:rPr>
          <w:rFonts w:ascii="Times New Roman" w:eastAsia="Times New Roman" w:hAnsi="Times New Roman" w:cs="Times New Roman"/>
          <w:sz w:val="28"/>
          <w:szCs w:val="28"/>
        </w:rPr>
        <w:t>роль у стандартизації регулювання фінансових ринків, розробляючи регулятивні стандарти та наглядаючи за дотриманням норм.</w:t>
      </w:r>
      <w:r w:rsidRPr="00AA4C36">
        <w:rPr>
          <w:rFonts w:ascii="Times New Roman" w:eastAsia="Times New Roman" w:hAnsi="Times New Roman" w:cs="Times New Roman"/>
          <w:sz w:val="28"/>
          <w:szCs w:val="28"/>
          <w:lang w:val="uk-UA"/>
        </w:rPr>
        <w:t xml:space="preserve"> </w:t>
      </w:r>
      <w:r w:rsidRPr="00AA4C36">
        <w:rPr>
          <w:rFonts w:ascii="Times New Roman" w:eastAsia="Times New Roman" w:hAnsi="Times New Roman" w:cs="Times New Roman"/>
          <w:sz w:val="28"/>
          <w:szCs w:val="28"/>
        </w:rPr>
        <w:t>Забезпечує захист інвесторів, запобігаючи маніпуляціям та зловживанням на ринку цінних паперів. Наприклад, ESMA здійснює моніторинг ринкових тенденцій і проводить оцінку ризиків у сфері цінних паперів.</w:t>
      </w:r>
      <w:r>
        <w:rPr>
          <w:rFonts w:ascii="Times New Roman" w:eastAsia="Times New Roman" w:hAnsi="Times New Roman" w:cs="Times New Roman"/>
          <w:sz w:val="28"/>
          <w:szCs w:val="28"/>
          <w:lang w:val="uk-UA"/>
        </w:rPr>
        <w:t xml:space="preserve"> </w:t>
      </w:r>
      <w:r w:rsidRPr="00AA4C36">
        <w:rPr>
          <w:rFonts w:ascii="Times New Roman" w:eastAsia="Times New Roman" w:hAnsi="Times New Roman" w:cs="Times New Roman"/>
          <w:sz w:val="28"/>
          <w:szCs w:val="28"/>
        </w:rPr>
        <w:t>Під час кризових ситуацій, таких як пандемія COVID-19, ESMA швидко реагувала, впроваджуючи тимчасові заходи для забезпечення прозорості ринків та підтримки стабільності.</w:t>
      </w:r>
    </w:p>
    <w:p w:rsidR="00AA4C36" w:rsidRPr="00AA4C36"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AA4C36">
        <w:rPr>
          <w:rFonts w:ascii="Times New Roman" w:eastAsia="Times New Roman" w:hAnsi="Times New Roman" w:cs="Times New Roman"/>
          <w:b/>
          <w:bCs/>
          <w:sz w:val="28"/>
          <w:szCs w:val="28"/>
        </w:rPr>
        <w:t>Європейський орган банківського нагляду (EBA)</w:t>
      </w:r>
      <w:r>
        <w:rPr>
          <w:rFonts w:ascii="Times New Roman" w:eastAsia="Times New Roman" w:hAnsi="Times New Roman" w:cs="Times New Roman"/>
          <w:b/>
          <w:bCs/>
          <w:sz w:val="28"/>
          <w:szCs w:val="28"/>
          <w:lang w:val="uk-UA"/>
        </w:rPr>
        <w:t xml:space="preserve">. </w:t>
      </w:r>
      <w:r w:rsidRPr="00AA4C36">
        <w:rPr>
          <w:rFonts w:ascii="Times New Roman" w:eastAsia="Times New Roman" w:hAnsi="Times New Roman" w:cs="Times New Roman"/>
          <w:sz w:val="28"/>
          <w:szCs w:val="28"/>
        </w:rPr>
        <w:t>Зосереджується на забезпеченні стабільності та ефективності банківської системи в ЄС, регулюючи капіталізацію банків і стежачи за виконанням вимог щодо достатності капіталу.</w:t>
      </w:r>
      <w:r>
        <w:rPr>
          <w:rFonts w:ascii="Times New Roman" w:eastAsia="Times New Roman" w:hAnsi="Times New Roman" w:cs="Times New Roman"/>
          <w:sz w:val="28"/>
          <w:szCs w:val="28"/>
          <w:lang w:val="uk-UA"/>
        </w:rPr>
        <w:t xml:space="preserve"> </w:t>
      </w:r>
      <w:r w:rsidRPr="00AA4C36">
        <w:rPr>
          <w:rFonts w:ascii="Times New Roman" w:eastAsia="Times New Roman" w:hAnsi="Times New Roman" w:cs="Times New Roman"/>
          <w:sz w:val="28"/>
          <w:szCs w:val="28"/>
        </w:rPr>
        <w:t>Проводить стрес-тестування банків, яке допомагає оцінити стійкість фінансових установ до економічних шоків.</w:t>
      </w:r>
      <w:r>
        <w:rPr>
          <w:rFonts w:ascii="Times New Roman" w:eastAsia="Times New Roman" w:hAnsi="Times New Roman" w:cs="Times New Roman"/>
          <w:sz w:val="28"/>
          <w:szCs w:val="28"/>
          <w:lang w:val="uk-UA"/>
        </w:rPr>
        <w:t xml:space="preserve"> </w:t>
      </w:r>
      <w:r w:rsidRPr="00AA4C36">
        <w:rPr>
          <w:rFonts w:ascii="Times New Roman" w:eastAsia="Times New Roman" w:hAnsi="Times New Roman" w:cs="Times New Roman"/>
          <w:sz w:val="28"/>
          <w:szCs w:val="28"/>
        </w:rPr>
        <w:t>Після фінансової кризи 2008 року EBA був створений для посилення контролю над банківською системою, що стало відповіддю на слабкі місця, виявлені під час кризи.</w:t>
      </w:r>
    </w:p>
    <w:p w:rsidR="00AA4C36" w:rsidRPr="00AA4C36"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AA4C36">
        <w:rPr>
          <w:rFonts w:ascii="Times New Roman" w:eastAsia="Times New Roman" w:hAnsi="Times New Roman" w:cs="Times New Roman"/>
          <w:b/>
          <w:bCs/>
          <w:sz w:val="28"/>
          <w:szCs w:val="28"/>
        </w:rPr>
        <w:lastRenderedPageBreak/>
        <w:t>Європейський орган страхування і професійних пенсій (EIOPA)</w:t>
      </w:r>
      <w:r>
        <w:rPr>
          <w:rFonts w:ascii="Times New Roman" w:eastAsia="Times New Roman" w:hAnsi="Times New Roman" w:cs="Times New Roman"/>
          <w:b/>
          <w:bCs/>
          <w:sz w:val="28"/>
          <w:szCs w:val="28"/>
          <w:lang w:val="uk-UA"/>
        </w:rPr>
        <w:t xml:space="preserve">. </w:t>
      </w:r>
      <w:r w:rsidRPr="00AA4C36">
        <w:rPr>
          <w:rFonts w:ascii="Times New Roman" w:eastAsia="Times New Roman" w:hAnsi="Times New Roman" w:cs="Times New Roman"/>
          <w:sz w:val="28"/>
          <w:szCs w:val="28"/>
        </w:rPr>
        <w:t>Відповідає за нагляд за страховими та пенсійними ринками, зокрема регулює капітальні вимоги до страхових компаній, контролює пенсійні фонди та захищає права споживачів у цих секторах.</w:t>
      </w:r>
      <w:r>
        <w:rPr>
          <w:rFonts w:ascii="Times New Roman" w:eastAsia="Times New Roman" w:hAnsi="Times New Roman" w:cs="Times New Roman"/>
          <w:sz w:val="28"/>
          <w:szCs w:val="28"/>
          <w:lang w:val="uk-UA"/>
        </w:rPr>
        <w:t xml:space="preserve"> </w:t>
      </w:r>
      <w:r w:rsidRPr="00AA4C36">
        <w:rPr>
          <w:rFonts w:ascii="Times New Roman" w:eastAsia="Times New Roman" w:hAnsi="Times New Roman" w:cs="Times New Roman"/>
          <w:sz w:val="28"/>
          <w:szCs w:val="28"/>
        </w:rPr>
        <w:t>Впроваджує вимоги до капіталу страхових компаній, які забезпечують надійність ринку та захист інтересів споживачів.</w:t>
      </w:r>
      <w:r>
        <w:rPr>
          <w:rFonts w:ascii="Times New Roman" w:eastAsia="Times New Roman" w:hAnsi="Times New Roman" w:cs="Times New Roman"/>
          <w:sz w:val="28"/>
          <w:szCs w:val="28"/>
          <w:lang w:val="uk-UA"/>
        </w:rPr>
        <w:t xml:space="preserve"> </w:t>
      </w:r>
      <w:r w:rsidRPr="00AA4C36">
        <w:rPr>
          <w:rFonts w:ascii="Times New Roman" w:eastAsia="Times New Roman" w:hAnsi="Times New Roman" w:cs="Times New Roman"/>
          <w:sz w:val="28"/>
          <w:szCs w:val="28"/>
        </w:rPr>
        <w:t>Підтримує адаптацію ринку до таких нових викликів, як зростання страхування, пов’язаного з кліматичними ризиками.</w:t>
      </w:r>
    </w:p>
    <w:p w:rsidR="00AA4C36" w:rsidRPr="00AA4C36"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i/>
          <w:sz w:val="28"/>
          <w:szCs w:val="28"/>
        </w:rPr>
        <w:t>ESFS забезпечує координацію дій на рівні ЄС та окремих країн</w:t>
      </w:r>
      <w:r w:rsidRPr="00AA4C36">
        <w:rPr>
          <w:rFonts w:ascii="Times New Roman" w:eastAsia="Times New Roman" w:hAnsi="Times New Roman" w:cs="Times New Roman"/>
          <w:sz w:val="28"/>
          <w:szCs w:val="28"/>
        </w:rPr>
        <w:t>. Наприклад, ESMA, EBA та EIOPA співпрацюють із національними регуляторами, щоб забезпечити впровадження єдиних стандартів у різних країнах ЄС. Це дозволяє підтримувати інтеграцію фінансових ринків ЄС та підвищити рівень захисту інвесторів. Однак національні регулятори зберігають певну автономію, що забезпечує гнучкість у впровадженні політик, враховуючи локальні особливості.</w:t>
      </w:r>
    </w:p>
    <w:p w:rsidR="003B2372" w:rsidRDefault="003B2372" w:rsidP="00FB653E">
      <w:pPr>
        <w:widowControl w:val="0"/>
        <w:spacing w:after="0" w:line="288" w:lineRule="auto"/>
        <w:ind w:firstLine="709"/>
        <w:jc w:val="both"/>
        <w:rPr>
          <w:rFonts w:ascii="Times New Roman" w:hAnsi="Times New Roman" w:cs="Times New Roman"/>
          <w:sz w:val="28"/>
          <w:szCs w:val="28"/>
          <w:lang w:val="uk-UA"/>
        </w:rPr>
      </w:pPr>
    </w:p>
    <w:p w:rsidR="00A0526F" w:rsidRPr="00FB653E" w:rsidRDefault="00A0526F" w:rsidP="00FB653E">
      <w:pPr>
        <w:widowControl w:val="0"/>
        <w:spacing w:after="0" w:line="288" w:lineRule="auto"/>
        <w:ind w:firstLine="709"/>
        <w:jc w:val="both"/>
        <w:rPr>
          <w:rFonts w:ascii="Times New Roman" w:eastAsia="Times New Roman" w:hAnsi="Times New Roman" w:cs="Times New Roman"/>
          <w:b/>
          <w:sz w:val="28"/>
          <w:szCs w:val="28"/>
          <w:lang w:val="uk-UA"/>
        </w:rPr>
      </w:pPr>
      <w:r w:rsidRPr="00FB653E">
        <w:rPr>
          <w:rFonts w:ascii="Times New Roman" w:hAnsi="Times New Roman" w:cs="Times New Roman"/>
          <w:b/>
          <w:sz w:val="28"/>
          <w:szCs w:val="28"/>
          <w:lang w:val="uk-UA"/>
        </w:rPr>
        <w:t>3</w:t>
      </w:r>
      <w:r w:rsidRPr="00FB653E">
        <w:rPr>
          <w:rFonts w:ascii="Times New Roman" w:hAnsi="Times New Roman" w:cs="Times New Roman"/>
          <w:sz w:val="28"/>
          <w:szCs w:val="28"/>
          <w:lang w:val="uk-UA"/>
        </w:rPr>
        <w:t xml:space="preserve">. </w:t>
      </w:r>
      <w:r w:rsidRPr="00FB653E">
        <w:rPr>
          <w:rFonts w:ascii="Times New Roman" w:hAnsi="Times New Roman" w:cs="Times New Roman"/>
          <w:b/>
          <w:sz w:val="28"/>
          <w:szCs w:val="28"/>
        </w:rPr>
        <w:t>Основні нормативні акти та директиви ЄС щодо фінансових ринків</w:t>
      </w:r>
    </w:p>
    <w:p w:rsidR="00FB653E" w:rsidRDefault="00AA4C36" w:rsidP="00FB653E">
      <w:pPr>
        <w:widowControl w:val="0"/>
        <w:spacing w:after="0" w:line="288" w:lineRule="auto"/>
        <w:ind w:firstLine="709"/>
        <w:jc w:val="both"/>
        <w:rPr>
          <w:rFonts w:ascii="Times New Roman" w:eastAsia="Times New Roman" w:hAnsi="Times New Roman" w:cs="Times New Roman"/>
          <w:sz w:val="28"/>
          <w:szCs w:val="28"/>
          <w:lang w:val="uk-UA"/>
        </w:rPr>
      </w:pPr>
      <w:r w:rsidRPr="00FB653E">
        <w:rPr>
          <w:rFonts w:ascii="Times New Roman" w:eastAsia="Times New Roman" w:hAnsi="Times New Roman" w:cs="Times New Roman"/>
          <w:sz w:val="28"/>
          <w:szCs w:val="28"/>
        </w:rPr>
        <w:t xml:space="preserve">Регулювання фінансових ринків у Європейському Союзі є важливим для забезпечення їхньої стабільності, прозорості та захисту інвесторів. Для цього ЄС розробив систему нормативних актів та директив, які охоплюють різні аспекти фінансової діяльності. </w:t>
      </w:r>
    </w:p>
    <w:p w:rsidR="00FB653E" w:rsidRDefault="00AA4C36" w:rsidP="00FB653E">
      <w:pPr>
        <w:widowControl w:val="0"/>
        <w:spacing w:after="0" w:line="288" w:lineRule="auto"/>
        <w:ind w:firstLine="709"/>
        <w:jc w:val="both"/>
        <w:rPr>
          <w:rFonts w:ascii="Times New Roman" w:eastAsia="Times New Roman" w:hAnsi="Times New Roman" w:cs="Times New Roman"/>
          <w:sz w:val="28"/>
          <w:szCs w:val="28"/>
          <w:lang w:val="uk-UA"/>
        </w:rPr>
      </w:pPr>
      <w:r w:rsidRPr="00FB653E">
        <w:rPr>
          <w:rFonts w:ascii="Times New Roman" w:eastAsia="Times New Roman" w:hAnsi="Times New Roman" w:cs="Times New Roman"/>
          <w:sz w:val="28"/>
          <w:szCs w:val="28"/>
        </w:rPr>
        <w:t xml:space="preserve">Основні акти регулюють діяльність банків, страхових компаній, фондових ринків та інших фінансових установ, а також встановлюють вимоги для боротьби з відмиванням грошей і захистом від системних ризиків. </w:t>
      </w:r>
    </w:p>
    <w:p w:rsidR="00AA4C36" w:rsidRPr="00FB653E"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sz w:val="28"/>
          <w:szCs w:val="28"/>
        </w:rPr>
        <w:t xml:space="preserve">Розглянемо </w:t>
      </w:r>
      <w:r w:rsidR="00FB653E">
        <w:rPr>
          <w:rFonts w:ascii="Times New Roman" w:eastAsia="Times New Roman" w:hAnsi="Times New Roman" w:cs="Times New Roman"/>
          <w:sz w:val="28"/>
          <w:szCs w:val="28"/>
          <w:lang w:val="uk-UA"/>
        </w:rPr>
        <w:t xml:space="preserve">основні </w:t>
      </w:r>
      <w:r w:rsidRPr="00FB653E">
        <w:rPr>
          <w:rFonts w:ascii="Times New Roman" w:eastAsia="Times New Roman" w:hAnsi="Times New Roman" w:cs="Times New Roman"/>
          <w:sz w:val="28"/>
          <w:szCs w:val="28"/>
        </w:rPr>
        <w:t>акти, що регулюють фінансові ринки у ЄС, більш детально.</w:t>
      </w:r>
    </w:p>
    <w:p w:rsidR="00AA4C36" w:rsidRPr="00FB653E" w:rsidRDefault="00AA4C36" w:rsidP="00FB653E">
      <w:pPr>
        <w:widowControl w:val="0"/>
        <w:spacing w:after="0" w:line="288" w:lineRule="auto"/>
        <w:ind w:firstLine="709"/>
        <w:jc w:val="both"/>
        <w:outlineLvl w:val="2"/>
        <w:rPr>
          <w:rFonts w:ascii="Times New Roman" w:eastAsia="Times New Roman" w:hAnsi="Times New Roman" w:cs="Times New Roman"/>
          <w:sz w:val="28"/>
          <w:szCs w:val="28"/>
        </w:rPr>
      </w:pPr>
      <w:r w:rsidRPr="00FB653E">
        <w:rPr>
          <w:rFonts w:ascii="Times New Roman" w:eastAsia="Times New Roman" w:hAnsi="Times New Roman" w:cs="Times New Roman"/>
          <w:b/>
          <w:bCs/>
          <w:sz w:val="28"/>
          <w:szCs w:val="28"/>
        </w:rPr>
        <w:t>1. Директива MiFID II (Markets in Financial Instruments Directive)</w:t>
      </w:r>
      <w:r w:rsidR="00FB653E">
        <w:rPr>
          <w:rFonts w:ascii="Times New Roman" w:eastAsia="Times New Roman" w:hAnsi="Times New Roman" w:cs="Times New Roman"/>
          <w:b/>
          <w:bCs/>
          <w:sz w:val="28"/>
          <w:szCs w:val="28"/>
          <w:lang w:val="uk-UA"/>
        </w:rPr>
        <w:t xml:space="preserve">. </w:t>
      </w:r>
      <w:r w:rsidRPr="00FB653E">
        <w:rPr>
          <w:rFonts w:ascii="Times New Roman" w:eastAsia="Times New Roman" w:hAnsi="Times New Roman" w:cs="Times New Roman"/>
          <w:bCs/>
          <w:sz w:val="28"/>
          <w:szCs w:val="28"/>
        </w:rPr>
        <w:t>Директива MiFID II</w:t>
      </w:r>
      <w:r w:rsidRPr="00FB653E">
        <w:rPr>
          <w:rFonts w:ascii="Times New Roman" w:eastAsia="Times New Roman" w:hAnsi="Times New Roman" w:cs="Times New Roman"/>
          <w:sz w:val="28"/>
          <w:szCs w:val="28"/>
        </w:rPr>
        <w:t xml:space="preserve"> (Директива про ринки фінансових інструментів) є основоположним актом, що регулює фінансові інструменти та ринки у ЄС. Вона була прийнята у 2004 році як MiFID I, а потім значно розширена та вдосконалена у 2014 році, вступивши в дію у 2018 році як MiFID II. Директива регулює роботу інвестиційних компаній, бірж та інших фінансових посередників, акцентуючи увагу на захисті інвесторів та прозорості фінансових операцій.</w:t>
      </w:r>
    </w:p>
    <w:p w:rsidR="00AA4C36" w:rsidRPr="00836838" w:rsidRDefault="00AA4C36" w:rsidP="00FB653E">
      <w:pPr>
        <w:widowControl w:val="0"/>
        <w:spacing w:after="0" w:line="288" w:lineRule="auto"/>
        <w:ind w:firstLine="709"/>
        <w:jc w:val="both"/>
        <w:rPr>
          <w:rFonts w:ascii="Times New Roman" w:eastAsia="Times New Roman" w:hAnsi="Times New Roman" w:cs="Times New Roman"/>
          <w:b/>
          <w:i/>
          <w:sz w:val="28"/>
          <w:szCs w:val="28"/>
        </w:rPr>
      </w:pPr>
      <w:r w:rsidRPr="00836838">
        <w:rPr>
          <w:rFonts w:ascii="Times New Roman" w:eastAsia="Times New Roman" w:hAnsi="Times New Roman" w:cs="Times New Roman"/>
          <w:b/>
          <w:bCs/>
          <w:i/>
          <w:sz w:val="28"/>
          <w:szCs w:val="28"/>
        </w:rPr>
        <w:t>Основні положення MiFID II включають</w:t>
      </w:r>
      <w:r w:rsidRPr="00836838">
        <w:rPr>
          <w:rFonts w:ascii="Times New Roman" w:eastAsia="Times New Roman" w:hAnsi="Times New Roman" w:cs="Times New Roman"/>
          <w:b/>
          <w:i/>
          <w:sz w:val="28"/>
          <w:szCs w:val="28"/>
        </w:rPr>
        <w:t>:</w:t>
      </w:r>
    </w:p>
    <w:p w:rsidR="00AA4C36" w:rsidRPr="00836838" w:rsidRDefault="00FB653E" w:rsidP="00836838">
      <w:pPr>
        <w:pStyle w:val="a3"/>
        <w:widowControl w:val="0"/>
        <w:numPr>
          <w:ilvl w:val="0"/>
          <w:numId w:val="19"/>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п</w:t>
      </w:r>
      <w:r w:rsidR="00AA4C36" w:rsidRPr="00836838">
        <w:rPr>
          <w:rFonts w:ascii="Times New Roman" w:eastAsia="Times New Roman" w:hAnsi="Times New Roman" w:cs="Times New Roman"/>
          <w:bCs/>
          <w:i/>
          <w:sz w:val="28"/>
          <w:szCs w:val="28"/>
        </w:rPr>
        <w:t>розорість ринку</w:t>
      </w:r>
      <w:r w:rsidR="00836838" w:rsidRPr="00836838">
        <w:rPr>
          <w:rFonts w:ascii="Times New Roman" w:eastAsia="Times New Roman" w:hAnsi="Times New Roman" w:cs="Times New Roman"/>
          <w:b/>
          <w:bCs/>
          <w:sz w:val="28"/>
          <w:szCs w:val="28"/>
          <w:lang w:val="uk-UA"/>
        </w:rPr>
        <w:t xml:space="preserve"> </w:t>
      </w:r>
      <w:r w:rsidR="00836838"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встановлюються вимоги до розкриття інформації, зокрема до публікації цінових пропозицій та обсягів торгів, що підвищує прозорість ринків.</w:t>
      </w:r>
    </w:p>
    <w:p w:rsidR="00AA4C36" w:rsidRPr="00836838" w:rsidRDefault="00FB653E" w:rsidP="00836838">
      <w:pPr>
        <w:pStyle w:val="a3"/>
        <w:widowControl w:val="0"/>
        <w:numPr>
          <w:ilvl w:val="0"/>
          <w:numId w:val="19"/>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з</w:t>
      </w:r>
      <w:r w:rsidR="00AA4C36" w:rsidRPr="00836838">
        <w:rPr>
          <w:rFonts w:ascii="Times New Roman" w:eastAsia="Times New Roman" w:hAnsi="Times New Roman" w:cs="Times New Roman"/>
          <w:bCs/>
          <w:i/>
          <w:sz w:val="28"/>
          <w:szCs w:val="28"/>
        </w:rPr>
        <w:t>ахист інвесторів</w:t>
      </w:r>
      <w:r w:rsidR="00836838" w:rsidRPr="00836838">
        <w:rPr>
          <w:rFonts w:ascii="Times New Roman" w:eastAsia="Times New Roman" w:hAnsi="Times New Roman" w:cs="Times New Roman"/>
          <w:b/>
          <w:bCs/>
          <w:sz w:val="28"/>
          <w:szCs w:val="28"/>
          <w:lang w:val="uk-UA"/>
        </w:rPr>
        <w:t xml:space="preserve"> </w:t>
      </w:r>
      <w:r w:rsidR="00836838"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посилюються вимоги до розкриття інформації про фінансові продукти, обов’язки щодо надання фінансових консультацій і </w:t>
      </w:r>
      <w:r w:rsidR="00AA4C36" w:rsidRPr="00836838">
        <w:rPr>
          <w:rFonts w:ascii="Times New Roman" w:eastAsia="Times New Roman" w:hAnsi="Times New Roman" w:cs="Times New Roman"/>
          <w:sz w:val="28"/>
          <w:szCs w:val="28"/>
        </w:rPr>
        <w:lastRenderedPageBreak/>
        <w:t>управління конфліктами інтересів.</w:t>
      </w:r>
    </w:p>
    <w:p w:rsidR="00AA4C36" w:rsidRPr="00836838" w:rsidRDefault="00FB653E" w:rsidP="00836838">
      <w:pPr>
        <w:pStyle w:val="a3"/>
        <w:widowControl w:val="0"/>
        <w:numPr>
          <w:ilvl w:val="0"/>
          <w:numId w:val="19"/>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о</w:t>
      </w:r>
      <w:r w:rsidR="00AA4C36" w:rsidRPr="00836838">
        <w:rPr>
          <w:rFonts w:ascii="Times New Roman" w:eastAsia="Times New Roman" w:hAnsi="Times New Roman" w:cs="Times New Roman"/>
          <w:bCs/>
          <w:i/>
          <w:sz w:val="28"/>
          <w:szCs w:val="28"/>
        </w:rPr>
        <w:t>бмеження високочастотної торгівлі</w:t>
      </w:r>
      <w:r w:rsidR="00836838" w:rsidRPr="00836838">
        <w:rPr>
          <w:rFonts w:ascii="Times New Roman" w:eastAsia="Times New Roman" w:hAnsi="Times New Roman" w:cs="Times New Roman"/>
          <w:bCs/>
          <w:i/>
          <w:sz w:val="28"/>
          <w:szCs w:val="28"/>
          <w:lang w:val="uk-UA"/>
        </w:rPr>
        <w:t xml:space="preserve"> </w:t>
      </w:r>
      <w:r w:rsidR="00836838"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встановлено обмеження на алгоритмічну торгівлю для зменшення ринкових ризиків.</w:t>
      </w:r>
    </w:p>
    <w:p w:rsidR="00AA4C36" w:rsidRPr="00836838" w:rsidRDefault="00FB653E" w:rsidP="00836838">
      <w:pPr>
        <w:pStyle w:val="a3"/>
        <w:widowControl w:val="0"/>
        <w:numPr>
          <w:ilvl w:val="0"/>
          <w:numId w:val="19"/>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п</w:t>
      </w:r>
      <w:r w:rsidR="00AA4C36" w:rsidRPr="00836838">
        <w:rPr>
          <w:rFonts w:ascii="Times New Roman" w:eastAsia="Times New Roman" w:hAnsi="Times New Roman" w:cs="Times New Roman"/>
          <w:bCs/>
          <w:i/>
          <w:sz w:val="28"/>
          <w:szCs w:val="28"/>
        </w:rPr>
        <w:t>ідвищення конкурентності</w:t>
      </w:r>
      <w:r w:rsidR="00836838" w:rsidRPr="00836838">
        <w:rPr>
          <w:rFonts w:ascii="Times New Roman" w:eastAsia="Times New Roman" w:hAnsi="Times New Roman" w:cs="Times New Roman"/>
          <w:b/>
          <w:bCs/>
          <w:sz w:val="28"/>
          <w:szCs w:val="28"/>
          <w:lang w:val="uk-UA"/>
        </w:rPr>
        <w:t xml:space="preserve"> </w:t>
      </w:r>
      <w:r w:rsidR="00836838"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сприяє збільшенню доступу інвесторів до різноманітних ринків та фінансових послуг.</w:t>
      </w:r>
    </w:p>
    <w:p w:rsidR="00AA4C36" w:rsidRPr="00FB653E"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sz w:val="28"/>
          <w:szCs w:val="28"/>
        </w:rPr>
        <w:t>Ця директива стала важливим кроком у боротьбі з нечесними практиками та захисті прав інвесторів, особливо роздрібних, шляхом вимог до більшої прозорості.</w:t>
      </w:r>
    </w:p>
    <w:p w:rsidR="00AA4C36" w:rsidRPr="00FB653E" w:rsidRDefault="00AA4C36" w:rsidP="00836838">
      <w:pPr>
        <w:widowControl w:val="0"/>
        <w:spacing w:after="0" w:line="288" w:lineRule="auto"/>
        <w:ind w:firstLine="709"/>
        <w:jc w:val="both"/>
        <w:outlineLvl w:val="2"/>
        <w:rPr>
          <w:rFonts w:ascii="Times New Roman" w:eastAsia="Times New Roman" w:hAnsi="Times New Roman" w:cs="Times New Roman"/>
          <w:sz w:val="28"/>
          <w:szCs w:val="28"/>
        </w:rPr>
      </w:pPr>
      <w:r w:rsidRPr="00FB653E">
        <w:rPr>
          <w:rFonts w:ascii="Times New Roman" w:eastAsia="Times New Roman" w:hAnsi="Times New Roman" w:cs="Times New Roman"/>
          <w:b/>
          <w:bCs/>
          <w:sz w:val="28"/>
          <w:szCs w:val="28"/>
        </w:rPr>
        <w:t>2. Регламент CRR (Capital Requirements Regulation) та Директива CRD IV (Capital Requirements Directive IV)</w:t>
      </w:r>
      <w:r w:rsidR="00836838">
        <w:rPr>
          <w:rFonts w:ascii="Times New Roman" w:eastAsia="Times New Roman" w:hAnsi="Times New Roman" w:cs="Times New Roman"/>
          <w:b/>
          <w:bCs/>
          <w:sz w:val="28"/>
          <w:szCs w:val="28"/>
          <w:lang w:val="uk-UA"/>
        </w:rPr>
        <w:t xml:space="preserve">. </w:t>
      </w:r>
      <w:r w:rsidRPr="00836838">
        <w:rPr>
          <w:rFonts w:ascii="Times New Roman" w:eastAsia="Times New Roman" w:hAnsi="Times New Roman" w:cs="Times New Roman"/>
          <w:sz w:val="28"/>
          <w:szCs w:val="28"/>
        </w:rPr>
        <w:t xml:space="preserve">Регламент </w:t>
      </w:r>
      <w:r w:rsidRPr="00836838">
        <w:rPr>
          <w:rFonts w:ascii="Times New Roman" w:eastAsia="Times New Roman" w:hAnsi="Times New Roman" w:cs="Times New Roman"/>
          <w:bCs/>
          <w:sz w:val="28"/>
          <w:szCs w:val="28"/>
        </w:rPr>
        <w:t>CRR</w:t>
      </w:r>
      <w:r w:rsidRPr="00836838">
        <w:rPr>
          <w:rFonts w:ascii="Times New Roman" w:eastAsia="Times New Roman" w:hAnsi="Times New Roman" w:cs="Times New Roman"/>
          <w:sz w:val="28"/>
          <w:szCs w:val="28"/>
        </w:rPr>
        <w:t xml:space="preserve"> і </w:t>
      </w:r>
      <w:r w:rsidRPr="00836838">
        <w:rPr>
          <w:rFonts w:ascii="Times New Roman" w:eastAsia="Times New Roman" w:hAnsi="Times New Roman" w:cs="Times New Roman"/>
          <w:bCs/>
          <w:sz w:val="28"/>
          <w:szCs w:val="28"/>
        </w:rPr>
        <w:t>директива CRD IV</w:t>
      </w:r>
      <w:r w:rsidRPr="00FB653E">
        <w:rPr>
          <w:rFonts w:ascii="Times New Roman" w:eastAsia="Times New Roman" w:hAnsi="Times New Roman" w:cs="Times New Roman"/>
          <w:sz w:val="28"/>
          <w:szCs w:val="28"/>
        </w:rPr>
        <w:t xml:space="preserve"> регулюють вимоги до капіталу банків і фінансових установ у ЄС, встановлюючи стандарти достатності капіталу, ліквідності та управління ризиками. Вони є частиною європейських заходів щодо зміцнення банківської системи після фінансової кризи 2008 року і були прийняті у 2013 році.</w:t>
      </w:r>
    </w:p>
    <w:p w:rsidR="00AA4C36" w:rsidRPr="00836838" w:rsidRDefault="00836838" w:rsidP="00FB653E">
      <w:pPr>
        <w:widowControl w:val="0"/>
        <w:spacing w:after="0" w:line="288" w:lineRule="auto"/>
        <w:ind w:firstLine="709"/>
        <w:jc w:val="both"/>
        <w:rPr>
          <w:rFonts w:ascii="Times New Roman" w:eastAsia="Times New Roman" w:hAnsi="Times New Roman" w:cs="Times New Roman"/>
          <w:i/>
          <w:sz w:val="28"/>
          <w:szCs w:val="28"/>
        </w:rPr>
      </w:pPr>
      <w:r w:rsidRPr="00836838">
        <w:rPr>
          <w:rFonts w:ascii="Times New Roman" w:eastAsia="Times New Roman" w:hAnsi="Times New Roman" w:cs="Times New Roman"/>
          <w:b/>
          <w:bCs/>
          <w:i/>
          <w:sz w:val="28"/>
          <w:szCs w:val="28"/>
          <w:lang w:val="uk-UA"/>
        </w:rPr>
        <w:t>Основні</w:t>
      </w:r>
      <w:r w:rsidR="00AA4C36" w:rsidRPr="00836838">
        <w:rPr>
          <w:rFonts w:ascii="Times New Roman" w:eastAsia="Times New Roman" w:hAnsi="Times New Roman" w:cs="Times New Roman"/>
          <w:b/>
          <w:bCs/>
          <w:i/>
          <w:sz w:val="28"/>
          <w:szCs w:val="28"/>
        </w:rPr>
        <w:t xml:space="preserve"> положення включають</w:t>
      </w:r>
      <w:r w:rsidR="00AA4C36" w:rsidRPr="00836838">
        <w:rPr>
          <w:rFonts w:ascii="Times New Roman" w:eastAsia="Times New Roman" w:hAnsi="Times New Roman" w:cs="Times New Roman"/>
          <w:i/>
          <w:sz w:val="28"/>
          <w:szCs w:val="28"/>
        </w:rPr>
        <w:t>:</w:t>
      </w:r>
    </w:p>
    <w:p w:rsidR="00AA4C36" w:rsidRPr="00836838" w:rsidRDefault="00836838" w:rsidP="00836838">
      <w:pPr>
        <w:pStyle w:val="a3"/>
        <w:widowControl w:val="0"/>
        <w:numPr>
          <w:ilvl w:val="0"/>
          <w:numId w:val="20"/>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в</w:t>
      </w:r>
      <w:r w:rsidR="00AA4C36" w:rsidRPr="00836838">
        <w:rPr>
          <w:rFonts w:ascii="Times New Roman" w:eastAsia="Times New Roman" w:hAnsi="Times New Roman" w:cs="Times New Roman"/>
          <w:bCs/>
          <w:i/>
          <w:sz w:val="28"/>
          <w:szCs w:val="28"/>
        </w:rPr>
        <w:t>имоги до капіталу</w:t>
      </w:r>
      <w:r w:rsidRPr="00836838">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банки повинні підтримувати мінімальний рівень капіталу для захисту від ризиків втрати активів.</w:t>
      </w:r>
    </w:p>
    <w:p w:rsidR="00AA4C36" w:rsidRPr="00836838" w:rsidRDefault="00836838" w:rsidP="00836838">
      <w:pPr>
        <w:pStyle w:val="a3"/>
        <w:widowControl w:val="0"/>
        <w:numPr>
          <w:ilvl w:val="0"/>
          <w:numId w:val="20"/>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л</w:t>
      </w:r>
      <w:r w:rsidR="00AA4C36" w:rsidRPr="00836838">
        <w:rPr>
          <w:rFonts w:ascii="Times New Roman" w:eastAsia="Times New Roman" w:hAnsi="Times New Roman" w:cs="Times New Roman"/>
          <w:bCs/>
          <w:i/>
          <w:sz w:val="28"/>
          <w:szCs w:val="28"/>
        </w:rPr>
        <w:t>іквідність</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банки повинні мати достатній рівень ліквідності для покриття своїх зобов’язань.</w:t>
      </w:r>
    </w:p>
    <w:p w:rsidR="00AA4C36" w:rsidRPr="00836838" w:rsidRDefault="00836838" w:rsidP="00836838">
      <w:pPr>
        <w:pStyle w:val="a3"/>
        <w:widowControl w:val="0"/>
        <w:numPr>
          <w:ilvl w:val="0"/>
          <w:numId w:val="20"/>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н</w:t>
      </w:r>
      <w:r w:rsidR="00AA4C36" w:rsidRPr="00836838">
        <w:rPr>
          <w:rFonts w:ascii="Times New Roman" w:eastAsia="Times New Roman" w:hAnsi="Times New Roman" w:cs="Times New Roman"/>
          <w:bCs/>
          <w:i/>
          <w:sz w:val="28"/>
          <w:szCs w:val="28"/>
        </w:rPr>
        <w:t>агляд і звітність</w:t>
      </w:r>
      <w:r w:rsidRPr="00836838">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фінансові установи зобов'язані надавати регулярну звітність про свою фінансову діяльність, що дозволяє регуляторам вчасно виявляти ризики.</w:t>
      </w:r>
    </w:p>
    <w:p w:rsidR="00AA4C36" w:rsidRPr="00836838" w:rsidRDefault="00836838" w:rsidP="00836838">
      <w:pPr>
        <w:pStyle w:val="a3"/>
        <w:widowControl w:val="0"/>
        <w:numPr>
          <w:ilvl w:val="0"/>
          <w:numId w:val="20"/>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п</w:t>
      </w:r>
      <w:r w:rsidR="00AA4C36" w:rsidRPr="00836838">
        <w:rPr>
          <w:rFonts w:ascii="Times New Roman" w:eastAsia="Times New Roman" w:hAnsi="Times New Roman" w:cs="Times New Roman"/>
          <w:bCs/>
          <w:i/>
          <w:sz w:val="28"/>
          <w:szCs w:val="28"/>
        </w:rPr>
        <w:t>ропорційність</w:t>
      </w:r>
      <w:r w:rsidRPr="00836838">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вимоги адаптуються залежно від розміру та ризикового профілю банку.</w:t>
      </w:r>
    </w:p>
    <w:p w:rsidR="00AA4C36" w:rsidRPr="00FB653E"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sz w:val="28"/>
          <w:szCs w:val="28"/>
        </w:rPr>
        <w:t>Ці документи є основою для регулювання банківської системи в ЄС, оскільки вони зменшують ризики для фінансової стабільності та підвищують стійкість банків до економічних шоків.</w:t>
      </w:r>
    </w:p>
    <w:p w:rsidR="00AA4C36" w:rsidRPr="00FB653E" w:rsidRDefault="00AA4C36" w:rsidP="00836838">
      <w:pPr>
        <w:widowControl w:val="0"/>
        <w:spacing w:after="0" w:line="288" w:lineRule="auto"/>
        <w:ind w:firstLine="709"/>
        <w:jc w:val="both"/>
        <w:outlineLvl w:val="2"/>
        <w:rPr>
          <w:rFonts w:ascii="Times New Roman" w:eastAsia="Times New Roman" w:hAnsi="Times New Roman" w:cs="Times New Roman"/>
          <w:sz w:val="28"/>
          <w:szCs w:val="28"/>
        </w:rPr>
      </w:pPr>
      <w:r w:rsidRPr="00FB653E">
        <w:rPr>
          <w:rFonts w:ascii="Times New Roman" w:eastAsia="Times New Roman" w:hAnsi="Times New Roman" w:cs="Times New Roman"/>
          <w:b/>
          <w:bCs/>
          <w:sz w:val="28"/>
          <w:szCs w:val="28"/>
        </w:rPr>
        <w:t>3. Директива UCITS (Undertakings for Collective Investment in Transferable Securities)</w:t>
      </w:r>
      <w:r w:rsidR="00836838">
        <w:rPr>
          <w:rFonts w:ascii="Times New Roman" w:eastAsia="Times New Roman" w:hAnsi="Times New Roman" w:cs="Times New Roman"/>
          <w:b/>
          <w:bCs/>
          <w:sz w:val="28"/>
          <w:szCs w:val="28"/>
          <w:lang w:val="uk-UA"/>
        </w:rPr>
        <w:t xml:space="preserve">. </w:t>
      </w:r>
      <w:r w:rsidRPr="00836838">
        <w:rPr>
          <w:rFonts w:ascii="Times New Roman" w:eastAsia="Times New Roman" w:hAnsi="Times New Roman" w:cs="Times New Roman"/>
          <w:bCs/>
          <w:sz w:val="28"/>
          <w:szCs w:val="28"/>
        </w:rPr>
        <w:t>UCITS</w:t>
      </w:r>
      <w:r w:rsidRPr="00836838">
        <w:rPr>
          <w:rFonts w:ascii="Times New Roman" w:eastAsia="Times New Roman" w:hAnsi="Times New Roman" w:cs="Times New Roman"/>
          <w:sz w:val="28"/>
          <w:szCs w:val="28"/>
        </w:rPr>
        <w:t xml:space="preserve"> </w:t>
      </w:r>
      <w:r w:rsidRPr="00FB653E">
        <w:rPr>
          <w:rFonts w:ascii="Times New Roman" w:eastAsia="Times New Roman" w:hAnsi="Times New Roman" w:cs="Times New Roman"/>
          <w:sz w:val="28"/>
          <w:szCs w:val="28"/>
        </w:rPr>
        <w:t>(Директива про колективні інвестиції у перевідступні цінні папери) була прийнята ще в 1985 році і з того часу неодноразово оновлювалася. Вона регулює діяльність інвестиційних фондів, які спеціалізуються на колективних інвестиціях і мають на меті захист інтересів інвесторів.</w:t>
      </w:r>
    </w:p>
    <w:p w:rsidR="00AA4C36" w:rsidRPr="00836838" w:rsidRDefault="00AA4C36" w:rsidP="00FB653E">
      <w:pPr>
        <w:widowControl w:val="0"/>
        <w:spacing w:after="0" w:line="288" w:lineRule="auto"/>
        <w:ind w:firstLine="709"/>
        <w:jc w:val="both"/>
        <w:rPr>
          <w:rFonts w:ascii="Times New Roman" w:eastAsia="Times New Roman" w:hAnsi="Times New Roman" w:cs="Times New Roman"/>
          <w:b/>
          <w:i/>
          <w:sz w:val="28"/>
          <w:szCs w:val="28"/>
        </w:rPr>
      </w:pPr>
      <w:r w:rsidRPr="00836838">
        <w:rPr>
          <w:rFonts w:ascii="Times New Roman" w:eastAsia="Times New Roman" w:hAnsi="Times New Roman" w:cs="Times New Roman"/>
          <w:b/>
          <w:bCs/>
          <w:i/>
          <w:sz w:val="28"/>
          <w:szCs w:val="28"/>
        </w:rPr>
        <w:t>Основні положення UCITS</w:t>
      </w:r>
      <w:r w:rsidRPr="00836838">
        <w:rPr>
          <w:rFonts w:ascii="Times New Roman" w:eastAsia="Times New Roman" w:hAnsi="Times New Roman" w:cs="Times New Roman"/>
          <w:b/>
          <w:i/>
          <w:sz w:val="28"/>
          <w:szCs w:val="28"/>
        </w:rPr>
        <w:t>:</w:t>
      </w:r>
    </w:p>
    <w:p w:rsidR="00AA4C36" w:rsidRPr="00836838" w:rsidRDefault="00836838" w:rsidP="00836838">
      <w:pPr>
        <w:pStyle w:val="a3"/>
        <w:widowControl w:val="0"/>
        <w:numPr>
          <w:ilvl w:val="0"/>
          <w:numId w:val="21"/>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з</w:t>
      </w:r>
      <w:r w:rsidR="00AA4C36" w:rsidRPr="00836838">
        <w:rPr>
          <w:rFonts w:ascii="Times New Roman" w:eastAsia="Times New Roman" w:hAnsi="Times New Roman" w:cs="Times New Roman"/>
          <w:bCs/>
          <w:i/>
          <w:sz w:val="28"/>
          <w:szCs w:val="28"/>
        </w:rPr>
        <w:t>ахист інвесторів</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встановлюються жорсткі стандарти розкриття інформації, щоб інвестори могли приймати обґрунтовані рішення.</w:t>
      </w:r>
    </w:p>
    <w:p w:rsidR="00AA4C36" w:rsidRPr="00836838" w:rsidRDefault="00836838" w:rsidP="00836838">
      <w:pPr>
        <w:pStyle w:val="a3"/>
        <w:widowControl w:val="0"/>
        <w:numPr>
          <w:ilvl w:val="0"/>
          <w:numId w:val="21"/>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п</w:t>
      </w:r>
      <w:r w:rsidR="00AA4C36" w:rsidRPr="00836838">
        <w:rPr>
          <w:rFonts w:ascii="Times New Roman" w:eastAsia="Times New Roman" w:hAnsi="Times New Roman" w:cs="Times New Roman"/>
          <w:bCs/>
          <w:i/>
          <w:sz w:val="28"/>
          <w:szCs w:val="28"/>
        </w:rPr>
        <w:t>розорість і звітність</w:t>
      </w:r>
      <w:r w:rsidRPr="00836838">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фонди зобов’язані надавати регулярну звітність </w:t>
      </w:r>
      <w:r w:rsidR="00AA4C36" w:rsidRPr="00836838">
        <w:rPr>
          <w:rFonts w:ascii="Times New Roman" w:eastAsia="Times New Roman" w:hAnsi="Times New Roman" w:cs="Times New Roman"/>
          <w:sz w:val="28"/>
          <w:szCs w:val="28"/>
        </w:rPr>
        <w:lastRenderedPageBreak/>
        <w:t>про свою діяльність та інформацію про структуру портфеля.</w:t>
      </w:r>
    </w:p>
    <w:p w:rsidR="00AA4C36" w:rsidRPr="00836838" w:rsidRDefault="00836838" w:rsidP="00836838">
      <w:pPr>
        <w:pStyle w:val="a3"/>
        <w:widowControl w:val="0"/>
        <w:numPr>
          <w:ilvl w:val="0"/>
          <w:numId w:val="21"/>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л</w:t>
      </w:r>
      <w:r w:rsidR="00AA4C36" w:rsidRPr="00836838">
        <w:rPr>
          <w:rFonts w:ascii="Times New Roman" w:eastAsia="Times New Roman" w:hAnsi="Times New Roman" w:cs="Times New Roman"/>
          <w:bCs/>
          <w:i/>
          <w:sz w:val="28"/>
          <w:szCs w:val="28"/>
        </w:rPr>
        <w:t>іквідність</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фонди повинні підтримувати високий рівень ліквідності для забезпечення можливості викупу пайових одиниць.</w:t>
      </w:r>
    </w:p>
    <w:p w:rsidR="00AA4C36" w:rsidRPr="00FB653E"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sz w:val="28"/>
          <w:szCs w:val="28"/>
        </w:rPr>
        <w:t>UCITS є популярним інвестиційним інструментом у Європі та за її межами, оскільки забезпечує високий рівень прозорості і захисту інвесторів.</w:t>
      </w:r>
    </w:p>
    <w:p w:rsidR="00AA4C36" w:rsidRPr="00FB653E" w:rsidRDefault="00AA4C36" w:rsidP="00836838">
      <w:pPr>
        <w:widowControl w:val="0"/>
        <w:spacing w:after="0" w:line="288" w:lineRule="auto"/>
        <w:ind w:firstLine="709"/>
        <w:jc w:val="both"/>
        <w:outlineLvl w:val="2"/>
        <w:rPr>
          <w:rFonts w:ascii="Times New Roman" w:eastAsia="Times New Roman" w:hAnsi="Times New Roman" w:cs="Times New Roman"/>
          <w:sz w:val="28"/>
          <w:szCs w:val="28"/>
        </w:rPr>
      </w:pPr>
      <w:r w:rsidRPr="00FB653E">
        <w:rPr>
          <w:rFonts w:ascii="Times New Roman" w:eastAsia="Times New Roman" w:hAnsi="Times New Roman" w:cs="Times New Roman"/>
          <w:b/>
          <w:bCs/>
          <w:sz w:val="28"/>
          <w:szCs w:val="28"/>
        </w:rPr>
        <w:t>4. Регламент щодо боротьби з відмиванням грошей (AML) та фінансуванням тероризму (CFT)</w:t>
      </w:r>
      <w:r w:rsidR="00836838">
        <w:rPr>
          <w:rFonts w:ascii="Times New Roman" w:eastAsia="Times New Roman" w:hAnsi="Times New Roman" w:cs="Times New Roman"/>
          <w:b/>
          <w:bCs/>
          <w:sz w:val="28"/>
          <w:szCs w:val="28"/>
          <w:lang w:val="uk-UA"/>
        </w:rPr>
        <w:t xml:space="preserve">. </w:t>
      </w:r>
      <w:r w:rsidRPr="00FB653E">
        <w:rPr>
          <w:rFonts w:ascii="Times New Roman" w:eastAsia="Times New Roman" w:hAnsi="Times New Roman" w:cs="Times New Roman"/>
          <w:sz w:val="28"/>
          <w:szCs w:val="28"/>
        </w:rPr>
        <w:t xml:space="preserve">Боротьба з відмиванням грошей та фінансуванням тероризму є одним із ключових напрямків регуляторної політики ЄС, особливо після фінансових криз і терористичних атак. Регламент </w:t>
      </w:r>
      <w:r w:rsidRPr="00FB653E">
        <w:rPr>
          <w:rFonts w:ascii="Times New Roman" w:eastAsia="Times New Roman" w:hAnsi="Times New Roman" w:cs="Times New Roman"/>
          <w:b/>
          <w:bCs/>
          <w:sz w:val="28"/>
          <w:szCs w:val="28"/>
        </w:rPr>
        <w:t>AML</w:t>
      </w:r>
      <w:r w:rsidRPr="00FB653E">
        <w:rPr>
          <w:rFonts w:ascii="Times New Roman" w:eastAsia="Times New Roman" w:hAnsi="Times New Roman" w:cs="Times New Roman"/>
          <w:sz w:val="28"/>
          <w:szCs w:val="28"/>
        </w:rPr>
        <w:t xml:space="preserve"> встановлює вимоги до банків та інших фінансових установ щодо здійснення процедур перевірки клієнтів, моніторингу фінансових транзакцій та звітності.</w:t>
      </w:r>
    </w:p>
    <w:p w:rsidR="00AA4C36" w:rsidRPr="00836838" w:rsidRDefault="00AA4C36" w:rsidP="00FB653E">
      <w:pPr>
        <w:widowControl w:val="0"/>
        <w:spacing w:after="0" w:line="288" w:lineRule="auto"/>
        <w:ind w:firstLine="709"/>
        <w:jc w:val="both"/>
        <w:rPr>
          <w:rFonts w:ascii="Times New Roman" w:eastAsia="Times New Roman" w:hAnsi="Times New Roman" w:cs="Times New Roman"/>
          <w:b/>
          <w:i/>
          <w:sz w:val="28"/>
          <w:szCs w:val="28"/>
        </w:rPr>
      </w:pPr>
      <w:r w:rsidRPr="00836838">
        <w:rPr>
          <w:rFonts w:ascii="Times New Roman" w:eastAsia="Times New Roman" w:hAnsi="Times New Roman" w:cs="Times New Roman"/>
          <w:b/>
          <w:bCs/>
          <w:i/>
          <w:sz w:val="28"/>
          <w:szCs w:val="28"/>
        </w:rPr>
        <w:t>Основні елементи AML-регулювання</w:t>
      </w:r>
      <w:r w:rsidRPr="00836838">
        <w:rPr>
          <w:rFonts w:ascii="Times New Roman" w:eastAsia="Times New Roman" w:hAnsi="Times New Roman" w:cs="Times New Roman"/>
          <w:b/>
          <w:i/>
          <w:sz w:val="28"/>
          <w:szCs w:val="28"/>
        </w:rPr>
        <w:t>:</w:t>
      </w:r>
    </w:p>
    <w:p w:rsidR="00AA4C36" w:rsidRPr="00836838" w:rsidRDefault="00836838" w:rsidP="00836838">
      <w:pPr>
        <w:pStyle w:val="a3"/>
        <w:widowControl w:val="0"/>
        <w:numPr>
          <w:ilvl w:val="0"/>
          <w:numId w:val="22"/>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в</w:t>
      </w:r>
      <w:r w:rsidR="00AA4C36" w:rsidRPr="00836838">
        <w:rPr>
          <w:rFonts w:ascii="Times New Roman" w:eastAsia="Times New Roman" w:hAnsi="Times New Roman" w:cs="Times New Roman"/>
          <w:bCs/>
          <w:i/>
          <w:sz w:val="28"/>
          <w:szCs w:val="28"/>
        </w:rPr>
        <w:t>ерифікація клієнтів (KYC)</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фінансові установи зобов’язані здійснювати ідентифікацію клієнтів і перевіряти їх на предмет можливих ризиків.</w:t>
      </w:r>
    </w:p>
    <w:p w:rsidR="00AA4C36" w:rsidRPr="00836838" w:rsidRDefault="00836838" w:rsidP="00836838">
      <w:pPr>
        <w:pStyle w:val="a3"/>
        <w:widowControl w:val="0"/>
        <w:numPr>
          <w:ilvl w:val="0"/>
          <w:numId w:val="22"/>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м</w:t>
      </w:r>
      <w:r w:rsidR="00AA4C36" w:rsidRPr="00836838">
        <w:rPr>
          <w:rFonts w:ascii="Times New Roman" w:eastAsia="Times New Roman" w:hAnsi="Times New Roman" w:cs="Times New Roman"/>
          <w:bCs/>
          <w:i/>
          <w:sz w:val="28"/>
          <w:szCs w:val="28"/>
        </w:rPr>
        <w:t>оніторинг транзакцій</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регулювання вимагає постійного моніторингу транзакцій для виявлення підозрілої діяльності.</w:t>
      </w:r>
    </w:p>
    <w:p w:rsidR="00AA4C36" w:rsidRPr="00836838" w:rsidRDefault="00836838" w:rsidP="00836838">
      <w:pPr>
        <w:pStyle w:val="a3"/>
        <w:widowControl w:val="0"/>
        <w:numPr>
          <w:ilvl w:val="0"/>
          <w:numId w:val="22"/>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з</w:t>
      </w:r>
      <w:r w:rsidR="00AA4C36" w:rsidRPr="00836838">
        <w:rPr>
          <w:rFonts w:ascii="Times New Roman" w:eastAsia="Times New Roman" w:hAnsi="Times New Roman" w:cs="Times New Roman"/>
          <w:bCs/>
          <w:i/>
          <w:sz w:val="28"/>
          <w:szCs w:val="28"/>
        </w:rPr>
        <w:t>вітність</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у разі виявлення підозрілих транзакцій фінансові установи зобов’язані негайно повідомляти про це відповідні органи.</w:t>
      </w:r>
    </w:p>
    <w:p w:rsidR="00AA4C36" w:rsidRPr="00FB653E"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sz w:val="28"/>
          <w:szCs w:val="28"/>
        </w:rPr>
        <w:t>Дотримання AML/CFT регулювання є обов'язковим для фінансових установ і має на меті запобігти використанню фінансових систем у незаконних цілях.</w:t>
      </w:r>
    </w:p>
    <w:p w:rsidR="00AA4C36" w:rsidRPr="00FB653E" w:rsidRDefault="00AA4C36" w:rsidP="00836838">
      <w:pPr>
        <w:widowControl w:val="0"/>
        <w:spacing w:after="0" w:line="288" w:lineRule="auto"/>
        <w:ind w:firstLine="709"/>
        <w:jc w:val="both"/>
        <w:outlineLvl w:val="2"/>
        <w:rPr>
          <w:rFonts w:ascii="Times New Roman" w:eastAsia="Times New Roman" w:hAnsi="Times New Roman" w:cs="Times New Roman"/>
          <w:sz w:val="28"/>
          <w:szCs w:val="28"/>
        </w:rPr>
      </w:pPr>
      <w:r w:rsidRPr="00FB653E">
        <w:rPr>
          <w:rFonts w:ascii="Times New Roman" w:eastAsia="Times New Roman" w:hAnsi="Times New Roman" w:cs="Times New Roman"/>
          <w:b/>
          <w:bCs/>
          <w:sz w:val="28"/>
          <w:szCs w:val="28"/>
        </w:rPr>
        <w:t>5. Директива AIFMD (Alternative Investment Fund Managers Directive)</w:t>
      </w:r>
      <w:r w:rsidR="00836838">
        <w:rPr>
          <w:rFonts w:ascii="Times New Roman" w:eastAsia="Times New Roman" w:hAnsi="Times New Roman" w:cs="Times New Roman"/>
          <w:b/>
          <w:bCs/>
          <w:sz w:val="28"/>
          <w:szCs w:val="28"/>
          <w:lang w:val="uk-UA"/>
        </w:rPr>
        <w:t xml:space="preserve">. </w:t>
      </w:r>
      <w:r w:rsidRPr="00836838">
        <w:rPr>
          <w:rFonts w:ascii="Times New Roman" w:eastAsia="Times New Roman" w:hAnsi="Times New Roman" w:cs="Times New Roman"/>
          <w:bCs/>
          <w:sz w:val="28"/>
          <w:szCs w:val="28"/>
        </w:rPr>
        <w:t>Директива AIFMD</w:t>
      </w:r>
      <w:r w:rsidRPr="00FB653E">
        <w:rPr>
          <w:rFonts w:ascii="Times New Roman" w:eastAsia="Times New Roman" w:hAnsi="Times New Roman" w:cs="Times New Roman"/>
          <w:sz w:val="28"/>
          <w:szCs w:val="28"/>
        </w:rPr>
        <w:t xml:space="preserve"> регулює діяльність компаній з управління альтернативними інвестиційними фондами, такими як хедж-фонди та фонди прямих інвестицій. Ця директива, прийнята у 2011 році, націлена на забезпечення прозорості та регулювання ризиків, пов’язаних із діяльністю альтернативних фондів.</w:t>
      </w:r>
    </w:p>
    <w:p w:rsidR="00AA4C36" w:rsidRPr="00836838" w:rsidRDefault="00836838" w:rsidP="00FB653E">
      <w:pPr>
        <w:widowControl w:val="0"/>
        <w:spacing w:after="0" w:line="288"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lang w:val="uk-UA"/>
        </w:rPr>
        <w:t>Основні</w:t>
      </w:r>
      <w:r w:rsidR="00AA4C36" w:rsidRPr="00836838">
        <w:rPr>
          <w:rFonts w:ascii="Times New Roman" w:eastAsia="Times New Roman" w:hAnsi="Times New Roman" w:cs="Times New Roman"/>
          <w:bCs/>
          <w:i/>
          <w:sz w:val="28"/>
          <w:szCs w:val="28"/>
        </w:rPr>
        <w:t xml:space="preserve"> положення AIFMD включають</w:t>
      </w:r>
      <w:r w:rsidR="00AA4C36" w:rsidRPr="00836838">
        <w:rPr>
          <w:rFonts w:ascii="Times New Roman" w:eastAsia="Times New Roman" w:hAnsi="Times New Roman" w:cs="Times New Roman"/>
          <w:i/>
          <w:sz w:val="28"/>
          <w:szCs w:val="28"/>
        </w:rPr>
        <w:t>:</w:t>
      </w:r>
    </w:p>
    <w:p w:rsidR="00AA4C36" w:rsidRPr="00836838" w:rsidRDefault="00836838" w:rsidP="00836838">
      <w:pPr>
        <w:pStyle w:val="a3"/>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р</w:t>
      </w:r>
      <w:r w:rsidR="00AA4C36" w:rsidRPr="00836838">
        <w:rPr>
          <w:rFonts w:ascii="Times New Roman" w:eastAsia="Times New Roman" w:hAnsi="Times New Roman" w:cs="Times New Roman"/>
          <w:bCs/>
          <w:i/>
          <w:sz w:val="28"/>
          <w:szCs w:val="28"/>
        </w:rPr>
        <w:t>озкриття інформації</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фонди повинні розкривати інформацію про свою структуру, стратегії та ризики.</w:t>
      </w:r>
    </w:p>
    <w:p w:rsidR="00AA4C36" w:rsidRPr="00836838" w:rsidRDefault="00836838" w:rsidP="00836838">
      <w:pPr>
        <w:pStyle w:val="a3"/>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в</w:t>
      </w:r>
      <w:r w:rsidR="00AA4C36" w:rsidRPr="00836838">
        <w:rPr>
          <w:rFonts w:ascii="Times New Roman" w:eastAsia="Times New Roman" w:hAnsi="Times New Roman" w:cs="Times New Roman"/>
          <w:bCs/>
          <w:i/>
          <w:sz w:val="28"/>
          <w:szCs w:val="28"/>
        </w:rPr>
        <w:t>имоги до капіталу</w:t>
      </w:r>
      <w:r w:rsidRPr="00836838">
        <w:rPr>
          <w:rFonts w:ascii="Times New Roman" w:eastAsia="Times New Roman" w:hAnsi="Times New Roman" w:cs="Times New Roman"/>
          <w:b/>
          <w:bCs/>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встановлюються мінімальні вимоги до капіталу для забезпечення платоспроможності фонду.</w:t>
      </w:r>
    </w:p>
    <w:p w:rsidR="00AA4C36" w:rsidRPr="00836838" w:rsidRDefault="00836838" w:rsidP="00836838">
      <w:pPr>
        <w:pStyle w:val="a3"/>
        <w:widowControl w:val="0"/>
        <w:numPr>
          <w:ilvl w:val="0"/>
          <w:numId w:val="23"/>
        </w:numPr>
        <w:tabs>
          <w:tab w:val="left" w:pos="993"/>
        </w:tabs>
        <w:spacing w:after="0" w:line="288" w:lineRule="auto"/>
        <w:ind w:left="0" w:firstLine="709"/>
        <w:jc w:val="both"/>
        <w:rPr>
          <w:rFonts w:ascii="Times New Roman" w:eastAsia="Times New Roman" w:hAnsi="Times New Roman" w:cs="Times New Roman"/>
          <w:sz w:val="28"/>
          <w:szCs w:val="28"/>
        </w:rPr>
      </w:pPr>
      <w:r w:rsidRPr="00836838">
        <w:rPr>
          <w:rFonts w:ascii="Times New Roman" w:eastAsia="Times New Roman" w:hAnsi="Times New Roman" w:cs="Times New Roman"/>
          <w:bCs/>
          <w:i/>
          <w:sz w:val="28"/>
          <w:szCs w:val="28"/>
        </w:rPr>
        <w:t>н</w:t>
      </w:r>
      <w:r w:rsidR="00AA4C36" w:rsidRPr="00836838">
        <w:rPr>
          <w:rFonts w:ascii="Times New Roman" w:eastAsia="Times New Roman" w:hAnsi="Times New Roman" w:cs="Times New Roman"/>
          <w:bCs/>
          <w:i/>
          <w:sz w:val="28"/>
          <w:szCs w:val="28"/>
        </w:rPr>
        <w:t>агляд</w:t>
      </w:r>
      <w:r w:rsidRPr="00836838">
        <w:rPr>
          <w:rFonts w:ascii="Times New Roman" w:eastAsia="Times New Roman" w:hAnsi="Times New Roman" w:cs="Times New Roman"/>
          <w:bCs/>
          <w:i/>
          <w:sz w:val="28"/>
          <w:szCs w:val="28"/>
          <w:lang w:val="uk-UA"/>
        </w:rPr>
        <w:t xml:space="preserve"> </w:t>
      </w:r>
      <w:r w:rsidRPr="00836838">
        <w:rPr>
          <w:rFonts w:ascii="Times New Roman" w:hAnsi="Times New Roman" w:cs="Times New Roman"/>
          <w:sz w:val="28"/>
          <w:szCs w:val="28"/>
        </w:rPr>
        <w:t>–</w:t>
      </w:r>
      <w:r w:rsidR="00AA4C36" w:rsidRPr="00836838">
        <w:rPr>
          <w:rFonts w:ascii="Times New Roman" w:eastAsia="Times New Roman" w:hAnsi="Times New Roman" w:cs="Times New Roman"/>
          <w:sz w:val="28"/>
          <w:szCs w:val="28"/>
        </w:rPr>
        <w:t xml:space="preserve"> регулятори мають право здійснювати перевірки та моніторинг діяльності фондів для запобігання ризикам, які вони можуть створити для фінансової системи.</w:t>
      </w:r>
    </w:p>
    <w:p w:rsidR="00AA4C36" w:rsidRPr="00FB653E" w:rsidRDefault="00AA4C36" w:rsidP="00FB653E">
      <w:pPr>
        <w:widowControl w:val="0"/>
        <w:spacing w:after="0" w:line="288" w:lineRule="auto"/>
        <w:ind w:firstLine="709"/>
        <w:jc w:val="both"/>
        <w:rPr>
          <w:rFonts w:ascii="Times New Roman" w:eastAsia="Times New Roman" w:hAnsi="Times New Roman" w:cs="Times New Roman"/>
          <w:sz w:val="28"/>
          <w:szCs w:val="28"/>
        </w:rPr>
      </w:pPr>
      <w:r w:rsidRPr="00FB653E">
        <w:rPr>
          <w:rFonts w:ascii="Times New Roman" w:eastAsia="Times New Roman" w:hAnsi="Times New Roman" w:cs="Times New Roman"/>
          <w:sz w:val="28"/>
          <w:szCs w:val="28"/>
        </w:rPr>
        <w:t>AIFMD стала відповіддю на недоліки, виявлені під час фінансової кризи 2008 року, і є важливим елементом системи регулювання альтернативних інвестицій у ЄС.</w:t>
      </w:r>
    </w:p>
    <w:p w:rsidR="00AA4C36" w:rsidRPr="00FB653E" w:rsidRDefault="00AA4C36" w:rsidP="00836838">
      <w:pPr>
        <w:widowControl w:val="0"/>
        <w:spacing w:after="0" w:line="288" w:lineRule="auto"/>
        <w:ind w:firstLine="709"/>
        <w:jc w:val="both"/>
        <w:outlineLvl w:val="2"/>
        <w:rPr>
          <w:rFonts w:ascii="Times New Roman" w:eastAsia="Times New Roman" w:hAnsi="Times New Roman" w:cs="Times New Roman"/>
          <w:sz w:val="28"/>
          <w:szCs w:val="28"/>
        </w:rPr>
      </w:pPr>
      <w:r w:rsidRPr="00FB653E">
        <w:rPr>
          <w:rFonts w:ascii="Times New Roman" w:eastAsia="Times New Roman" w:hAnsi="Times New Roman" w:cs="Times New Roman"/>
          <w:b/>
          <w:bCs/>
          <w:sz w:val="28"/>
          <w:szCs w:val="28"/>
        </w:rPr>
        <w:t>6. Регламент SFTR (Securities Financing Transactions Regulation)</w:t>
      </w:r>
      <w:r w:rsidR="00836838">
        <w:rPr>
          <w:rFonts w:ascii="Times New Roman" w:eastAsia="Times New Roman" w:hAnsi="Times New Roman" w:cs="Times New Roman"/>
          <w:b/>
          <w:bCs/>
          <w:sz w:val="28"/>
          <w:szCs w:val="28"/>
          <w:lang w:val="uk-UA"/>
        </w:rPr>
        <w:t xml:space="preserve">. </w:t>
      </w:r>
      <w:r w:rsidRPr="00836838">
        <w:rPr>
          <w:rFonts w:ascii="Times New Roman" w:eastAsia="Times New Roman" w:hAnsi="Times New Roman" w:cs="Times New Roman"/>
          <w:bCs/>
          <w:sz w:val="28"/>
          <w:szCs w:val="28"/>
        </w:rPr>
        <w:t>SFTR</w:t>
      </w:r>
      <w:r w:rsidRPr="00836838">
        <w:rPr>
          <w:rFonts w:ascii="Times New Roman" w:eastAsia="Times New Roman" w:hAnsi="Times New Roman" w:cs="Times New Roman"/>
          <w:sz w:val="28"/>
          <w:szCs w:val="28"/>
        </w:rPr>
        <w:t xml:space="preserve"> </w:t>
      </w:r>
      <w:r w:rsidRPr="00FB653E">
        <w:rPr>
          <w:rFonts w:ascii="Times New Roman" w:eastAsia="Times New Roman" w:hAnsi="Times New Roman" w:cs="Times New Roman"/>
          <w:sz w:val="28"/>
          <w:szCs w:val="28"/>
        </w:rPr>
        <w:lastRenderedPageBreak/>
        <w:t>(Регламент щодо операцій з фінансування під заставу цінних паперів) регулює операції з цінними паперами, включаючи репо-операції та операції з позикою цінних паперів. Цей регламент був прийнятий у 2015 році для підвищення прозорості операцій з фінансування під заставу цінних паперів.</w:t>
      </w:r>
    </w:p>
    <w:p w:rsidR="00AA4C36" w:rsidRPr="00DF2008" w:rsidRDefault="00AA4C36" w:rsidP="00DF2008">
      <w:pPr>
        <w:widowControl w:val="0"/>
        <w:spacing w:after="0" w:line="288" w:lineRule="auto"/>
        <w:ind w:firstLine="709"/>
        <w:jc w:val="both"/>
        <w:rPr>
          <w:rFonts w:ascii="Times New Roman" w:eastAsia="Times New Roman" w:hAnsi="Times New Roman" w:cs="Times New Roman"/>
          <w:i/>
          <w:sz w:val="28"/>
          <w:szCs w:val="28"/>
        </w:rPr>
      </w:pPr>
      <w:r w:rsidRPr="00DF2008">
        <w:rPr>
          <w:rFonts w:ascii="Times New Roman" w:eastAsia="Times New Roman" w:hAnsi="Times New Roman" w:cs="Times New Roman"/>
          <w:b/>
          <w:bCs/>
          <w:i/>
          <w:sz w:val="28"/>
          <w:szCs w:val="28"/>
        </w:rPr>
        <w:t>Основні вимоги SFTR</w:t>
      </w:r>
      <w:r w:rsidRPr="00DF2008">
        <w:rPr>
          <w:rFonts w:ascii="Times New Roman" w:eastAsia="Times New Roman" w:hAnsi="Times New Roman" w:cs="Times New Roman"/>
          <w:i/>
          <w:sz w:val="28"/>
          <w:szCs w:val="28"/>
        </w:rPr>
        <w:t>:</w:t>
      </w:r>
    </w:p>
    <w:p w:rsidR="00DF2008" w:rsidRPr="00DF2008" w:rsidRDefault="00DF2008" w:rsidP="004F556A">
      <w:pPr>
        <w:pStyle w:val="a4"/>
        <w:numPr>
          <w:ilvl w:val="0"/>
          <w:numId w:val="33"/>
        </w:numPr>
        <w:spacing w:before="0" w:beforeAutospacing="0" w:after="0" w:afterAutospacing="0" w:line="288" w:lineRule="auto"/>
        <w:ind w:left="0" w:firstLine="709"/>
        <w:jc w:val="both"/>
        <w:rPr>
          <w:sz w:val="28"/>
          <w:szCs w:val="28"/>
        </w:rPr>
      </w:pPr>
      <w:r w:rsidRPr="004F556A">
        <w:rPr>
          <w:rStyle w:val="a5"/>
          <w:b w:val="0"/>
          <w:i/>
          <w:sz w:val="28"/>
          <w:szCs w:val="28"/>
        </w:rPr>
        <w:t>звітність</w:t>
      </w:r>
      <w:r w:rsidRPr="00DF2008">
        <w:rPr>
          <w:rStyle w:val="a5"/>
          <w:sz w:val="28"/>
          <w:szCs w:val="28"/>
          <w:lang w:val="uk-UA"/>
        </w:rPr>
        <w:t xml:space="preserve"> </w:t>
      </w:r>
      <w:r w:rsidRPr="00DF2008">
        <w:rPr>
          <w:sz w:val="28"/>
          <w:szCs w:val="28"/>
        </w:rPr>
        <w:t>– Сторони, які беруть участь у операціях з фінансування цінних паперів (Securities Financing Transactions), зобов’язані надавати докладні звіти про всі такі операції до затверджених торгових репозиторіїв. Це забезпечує централізований збір даних і підвищує прозорість ринку.</w:t>
      </w:r>
    </w:p>
    <w:p w:rsidR="00DF2008" w:rsidRPr="00DF2008" w:rsidRDefault="00DF2008" w:rsidP="00DF2008">
      <w:pPr>
        <w:pStyle w:val="a4"/>
        <w:numPr>
          <w:ilvl w:val="1"/>
          <w:numId w:val="24"/>
        </w:numPr>
        <w:tabs>
          <w:tab w:val="left" w:pos="993"/>
        </w:tabs>
        <w:spacing w:before="0" w:beforeAutospacing="0" w:after="0" w:afterAutospacing="0" w:line="288" w:lineRule="auto"/>
        <w:ind w:left="0" w:firstLine="709"/>
        <w:jc w:val="both"/>
        <w:rPr>
          <w:sz w:val="28"/>
          <w:szCs w:val="28"/>
        </w:rPr>
      </w:pPr>
      <w:r w:rsidRPr="00DF2008">
        <w:rPr>
          <w:rStyle w:val="a5"/>
          <w:b w:val="0"/>
          <w:i/>
          <w:sz w:val="28"/>
          <w:szCs w:val="28"/>
        </w:rPr>
        <w:t>захист інвесторів</w:t>
      </w:r>
      <w:r w:rsidRPr="00DF2008">
        <w:rPr>
          <w:rStyle w:val="a5"/>
          <w:sz w:val="28"/>
          <w:szCs w:val="28"/>
          <w:lang w:val="uk-UA"/>
        </w:rPr>
        <w:t xml:space="preserve"> </w:t>
      </w:r>
      <w:r w:rsidRPr="00DF2008">
        <w:rPr>
          <w:sz w:val="28"/>
          <w:szCs w:val="28"/>
        </w:rPr>
        <w:t>–</w:t>
      </w:r>
      <w:r w:rsidRPr="00DF2008">
        <w:rPr>
          <w:sz w:val="28"/>
          <w:szCs w:val="28"/>
          <w:lang w:val="uk-UA"/>
        </w:rPr>
        <w:t xml:space="preserve"> </w:t>
      </w:r>
      <w:r w:rsidRPr="00DF2008">
        <w:rPr>
          <w:sz w:val="28"/>
          <w:szCs w:val="28"/>
        </w:rPr>
        <w:t>інвестори отримують повну інформацію про використання їхніх активів у таких операціях, що дозволяє їм приймати обґрунтовані рішення.</w:t>
      </w:r>
    </w:p>
    <w:p w:rsidR="00DF2008" w:rsidRPr="00DF2008" w:rsidRDefault="00DF2008" w:rsidP="00DF2008">
      <w:pPr>
        <w:pStyle w:val="a4"/>
        <w:numPr>
          <w:ilvl w:val="1"/>
          <w:numId w:val="24"/>
        </w:numPr>
        <w:tabs>
          <w:tab w:val="left" w:pos="993"/>
        </w:tabs>
        <w:spacing w:before="0" w:beforeAutospacing="0" w:after="0" w:afterAutospacing="0" w:line="288" w:lineRule="auto"/>
        <w:ind w:left="0" w:firstLine="709"/>
        <w:jc w:val="both"/>
        <w:rPr>
          <w:sz w:val="28"/>
          <w:szCs w:val="28"/>
        </w:rPr>
      </w:pPr>
      <w:r w:rsidRPr="00DF2008">
        <w:rPr>
          <w:rStyle w:val="a5"/>
          <w:b w:val="0"/>
          <w:i/>
          <w:sz w:val="28"/>
          <w:szCs w:val="28"/>
        </w:rPr>
        <w:t>розкриття інформації</w:t>
      </w:r>
      <w:r w:rsidRPr="00DF2008">
        <w:rPr>
          <w:rStyle w:val="a5"/>
          <w:sz w:val="28"/>
          <w:szCs w:val="28"/>
          <w:lang w:val="uk-UA"/>
        </w:rPr>
        <w:t xml:space="preserve"> </w:t>
      </w:r>
      <w:r w:rsidRPr="00DF2008">
        <w:rPr>
          <w:sz w:val="28"/>
          <w:szCs w:val="28"/>
        </w:rPr>
        <w:t>– Управляючі фондами та фінансові установи повинні розкривати деталі про використання операцій з фінансування цінних паперів у своїх звітностях та маркетингових матеріалах. Це включає інформацію про ризики, пов'язані з такими операціями, та про способи їх управління.</w:t>
      </w:r>
    </w:p>
    <w:p w:rsidR="00DF2008" w:rsidRPr="00DF2008" w:rsidRDefault="00DF2008" w:rsidP="00DF2008">
      <w:pPr>
        <w:pStyle w:val="a4"/>
        <w:numPr>
          <w:ilvl w:val="0"/>
          <w:numId w:val="24"/>
        </w:numPr>
        <w:tabs>
          <w:tab w:val="left" w:pos="993"/>
        </w:tabs>
        <w:spacing w:before="0" w:beforeAutospacing="0" w:after="0" w:afterAutospacing="0" w:line="288" w:lineRule="auto"/>
        <w:ind w:left="0" w:firstLine="709"/>
        <w:jc w:val="both"/>
        <w:rPr>
          <w:sz w:val="28"/>
          <w:szCs w:val="28"/>
        </w:rPr>
      </w:pPr>
      <w:r w:rsidRPr="00DF2008">
        <w:rPr>
          <w:rStyle w:val="a5"/>
          <w:b w:val="0"/>
          <w:i/>
          <w:sz w:val="28"/>
          <w:szCs w:val="28"/>
        </w:rPr>
        <w:t>управління забезпеченням</w:t>
      </w:r>
      <w:r w:rsidRPr="00DF2008">
        <w:rPr>
          <w:rStyle w:val="a5"/>
          <w:b w:val="0"/>
          <w:i/>
          <w:sz w:val="28"/>
          <w:szCs w:val="28"/>
          <w:lang w:val="uk-UA"/>
        </w:rPr>
        <w:t xml:space="preserve"> </w:t>
      </w:r>
      <w:r w:rsidRPr="00DF2008">
        <w:rPr>
          <w:sz w:val="28"/>
          <w:szCs w:val="28"/>
        </w:rPr>
        <w:t>–</w:t>
      </w:r>
      <w:r w:rsidRPr="00DF2008">
        <w:rPr>
          <w:sz w:val="28"/>
          <w:szCs w:val="28"/>
          <w:lang w:val="uk-UA"/>
        </w:rPr>
        <w:t xml:space="preserve"> </w:t>
      </w:r>
      <w:r w:rsidRPr="00DF2008">
        <w:rPr>
          <w:sz w:val="28"/>
          <w:szCs w:val="28"/>
        </w:rPr>
        <w:t>фінансові установи повинні інформувати контрагентів про ризики, пов’язані з повторним використанням забезпечення, і отримувати їхню згоду.</w:t>
      </w:r>
    </w:p>
    <w:p w:rsidR="00DF2008" w:rsidRPr="00DF2008" w:rsidRDefault="00DF2008" w:rsidP="00DF2008">
      <w:pPr>
        <w:pStyle w:val="a4"/>
        <w:numPr>
          <w:ilvl w:val="0"/>
          <w:numId w:val="24"/>
        </w:numPr>
        <w:tabs>
          <w:tab w:val="left" w:pos="993"/>
        </w:tabs>
        <w:spacing w:before="0" w:beforeAutospacing="0" w:after="0" w:afterAutospacing="0" w:line="288" w:lineRule="auto"/>
        <w:ind w:left="0" w:firstLine="709"/>
        <w:jc w:val="both"/>
        <w:rPr>
          <w:sz w:val="28"/>
          <w:szCs w:val="28"/>
        </w:rPr>
      </w:pPr>
      <w:r w:rsidRPr="00DF2008">
        <w:rPr>
          <w:rStyle w:val="a5"/>
          <w:b w:val="0"/>
          <w:i/>
          <w:sz w:val="28"/>
          <w:szCs w:val="28"/>
        </w:rPr>
        <w:t>стандартизація даних</w:t>
      </w:r>
      <w:r w:rsidRPr="00DF2008">
        <w:rPr>
          <w:rStyle w:val="a5"/>
          <w:sz w:val="28"/>
          <w:szCs w:val="28"/>
          <w:lang w:val="uk-UA"/>
        </w:rPr>
        <w:t xml:space="preserve"> </w:t>
      </w:r>
      <w:r w:rsidRPr="00DF2008">
        <w:rPr>
          <w:sz w:val="28"/>
          <w:szCs w:val="28"/>
        </w:rPr>
        <w:t>– регламент вимагає використання уніфікованих стандартів для звітності, що спрощує обробку та аналіз даних регуляторами і учасниками ринку.</w:t>
      </w:r>
    </w:p>
    <w:p w:rsidR="00DF2008" w:rsidRPr="00DF2008" w:rsidRDefault="00DF2008" w:rsidP="00DF2008">
      <w:pPr>
        <w:pStyle w:val="a4"/>
        <w:spacing w:before="0" w:beforeAutospacing="0" w:after="0" w:afterAutospacing="0" w:line="288" w:lineRule="auto"/>
        <w:ind w:firstLine="709"/>
        <w:jc w:val="both"/>
        <w:rPr>
          <w:sz w:val="28"/>
          <w:szCs w:val="28"/>
        </w:rPr>
      </w:pPr>
      <w:r w:rsidRPr="00DF2008">
        <w:rPr>
          <w:sz w:val="28"/>
          <w:szCs w:val="28"/>
        </w:rPr>
        <w:t>SFTR (Регламент про операції з фінансування цінних паперів) спрямований на підвищення прозорості та зниження системних ризиків на фінансових ринках Європейського Союзу. Виконання цих вимог допомагає запобігти потенційним кризам і забезпечує більш стабільну фінансову систему.</w:t>
      </w:r>
    </w:p>
    <w:p w:rsidR="00DF2008" w:rsidRPr="00DF2008" w:rsidRDefault="00DF2008" w:rsidP="00DF2008">
      <w:pPr>
        <w:pStyle w:val="a4"/>
        <w:spacing w:before="0" w:beforeAutospacing="0" w:after="0" w:afterAutospacing="0" w:line="288" w:lineRule="auto"/>
        <w:ind w:firstLine="709"/>
        <w:jc w:val="both"/>
        <w:rPr>
          <w:sz w:val="28"/>
          <w:szCs w:val="28"/>
        </w:rPr>
      </w:pPr>
      <w:r w:rsidRPr="00DF2008">
        <w:rPr>
          <w:sz w:val="28"/>
          <w:szCs w:val="28"/>
        </w:rPr>
        <w:t>Регулювання фінансових ринків у Європейському Союзі базується на комплексній системі нормативних актів і директив, таких як MiFID II, CRR та CRD IV, UCITS, AML/CFT, AIFMD та SFTR. Кожен із цих документів спрямований на посилення стабільності ринку, захист інвесторів та запобігання системним ризикам. Завдяки запровадженню вимог до прозорості, звітності, капіталу та ліквідності, ЄС забезпечує належне функціонування фінансових установ та захист від потенційних криз.</w:t>
      </w:r>
    </w:p>
    <w:p w:rsidR="00DF2008" w:rsidRPr="00DF2008" w:rsidRDefault="00DF2008" w:rsidP="00DF2008">
      <w:pPr>
        <w:pStyle w:val="a4"/>
        <w:spacing w:before="0" w:beforeAutospacing="0" w:after="0" w:afterAutospacing="0" w:line="288" w:lineRule="auto"/>
        <w:ind w:firstLine="709"/>
        <w:jc w:val="both"/>
        <w:rPr>
          <w:sz w:val="28"/>
          <w:szCs w:val="28"/>
        </w:rPr>
      </w:pPr>
      <w:r w:rsidRPr="00DF2008">
        <w:rPr>
          <w:sz w:val="28"/>
          <w:szCs w:val="28"/>
        </w:rPr>
        <w:t xml:space="preserve">Зокрема, такі директиви, як MiFID II, сприяють підвищенню конкурентності та прозорості ринків, тоді як CRR і CRD IV зосереджені на забезпеченні капітальної стійкості банків. UCITS надає додатковий захист інвесторам у сфері колективних інвестицій, а регулювання AML/CFT знижує ризики відмивання </w:t>
      </w:r>
      <w:r w:rsidRPr="00DF2008">
        <w:rPr>
          <w:sz w:val="28"/>
          <w:szCs w:val="28"/>
        </w:rPr>
        <w:lastRenderedPageBreak/>
        <w:t>коштів і фінансування тероризму. SFTR, у свою чергу, впроваджує вимоги для операцій з цінними паперами, забезпечуючи підвищену прозорість.</w:t>
      </w:r>
    </w:p>
    <w:p w:rsidR="00DF2008" w:rsidRDefault="00DF2008" w:rsidP="00DF2008">
      <w:pPr>
        <w:pStyle w:val="a4"/>
        <w:spacing w:before="0" w:beforeAutospacing="0" w:after="0" w:afterAutospacing="0" w:line="288" w:lineRule="auto"/>
        <w:ind w:firstLine="709"/>
        <w:jc w:val="both"/>
        <w:rPr>
          <w:sz w:val="28"/>
          <w:szCs w:val="28"/>
          <w:lang w:val="uk-UA"/>
        </w:rPr>
      </w:pPr>
      <w:r w:rsidRPr="00DF2008">
        <w:rPr>
          <w:sz w:val="28"/>
          <w:szCs w:val="28"/>
        </w:rPr>
        <w:t>Таким чином, система регулювання фінансових ринків у ЄС є важливим механізмом для збереження стабільності економіки, підвищення довіри інвесторів та підтримки конкурентного середовища, що сприяє сталому економічному зростанню регіону.</w:t>
      </w:r>
    </w:p>
    <w:p w:rsidR="00DF2008" w:rsidRPr="00DF2008" w:rsidRDefault="00DF2008" w:rsidP="00DF2008">
      <w:pPr>
        <w:pStyle w:val="a4"/>
        <w:spacing w:before="0" w:beforeAutospacing="0" w:after="0" w:afterAutospacing="0" w:line="288" w:lineRule="auto"/>
        <w:ind w:firstLine="709"/>
        <w:jc w:val="both"/>
        <w:rPr>
          <w:sz w:val="28"/>
          <w:szCs w:val="28"/>
          <w:lang w:val="uk-UA"/>
        </w:rPr>
      </w:pPr>
    </w:p>
    <w:p w:rsidR="00AA4C36" w:rsidRPr="00DF2008" w:rsidRDefault="00DF2008" w:rsidP="00DF2008">
      <w:pPr>
        <w:widowControl w:val="0"/>
        <w:spacing w:after="0" w:line="288" w:lineRule="auto"/>
        <w:ind w:firstLine="709"/>
        <w:jc w:val="both"/>
        <w:rPr>
          <w:rFonts w:ascii="Times New Roman" w:hAnsi="Times New Roman" w:cs="Times New Roman"/>
          <w:b/>
          <w:sz w:val="28"/>
          <w:szCs w:val="28"/>
          <w:lang w:val="uk-UA"/>
        </w:rPr>
      </w:pPr>
      <w:r w:rsidRPr="00DF2008">
        <w:rPr>
          <w:rFonts w:ascii="Times New Roman" w:hAnsi="Times New Roman" w:cs="Times New Roman"/>
          <w:b/>
          <w:sz w:val="28"/>
          <w:szCs w:val="28"/>
          <w:lang w:val="uk-UA"/>
        </w:rPr>
        <w:t xml:space="preserve">4. </w:t>
      </w:r>
      <w:r w:rsidRPr="00DF2008">
        <w:rPr>
          <w:rFonts w:ascii="Times New Roman" w:hAnsi="Times New Roman" w:cs="Times New Roman"/>
          <w:b/>
          <w:sz w:val="28"/>
          <w:szCs w:val="28"/>
        </w:rPr>
        <w:t>Європейський банківський союз та механізми регуляції</w:t>
      </w:r>
    </w:p>
    <w:p w:rsidR="00DF2008" w:rsidRDefault="00DF2008" w:rsidP="00DF2008">
      <w:pPr>
        <w:spacing w:after="0" w:line="288" w:lineRule="auto"/>
        <w:ind w:firstLine="709"/>
        <w:jc w:val="both"/>
        <w:rPr>
          <w:rFonts w:ascii="Times New Roman" w:eastAsia="Times New Roman" w:hAnsi="Times New Roman" w:cs="Times New Roman"/>
          <w:sz w:val="28"/>
          <w:szCs w:val="28"/>
          <w:lang w:val="uk-UA"/>
        </w:rPr>
      </w:pPr>
      <w:r w:rsidRPr="00DF2008">
        <w:rPr>
          <w:rFonts w:ascii="Times New Roman" w:eastAsia="Times New Roman" w:hAnsi="Times New Roman" w:cs="Times New Roman"/>
          <w:sz w:val="28"/>
          <w:szCs w:val="28"/>
        </w:rPr>
        <w:t xml:space="preserve">Європейський банківський союз </w:t>
      </w:r>
      <w:r w:rsidRPr="00DF2008">
        <w:rPr>
          <w:rFonts w:ascii="Times New Roman" w:hAnsi="Times New Roman" w:cs="Times New Roman"/>
          <w:sz w:val="28"/>
          <w:szCs w:val="28"/>
        </w:rPr>
        <w:t>–</w:t>
      </w:r>
      <w:r w:rsidRPr="00DF2008">
        <w:rPr>
          <w:rFonts w:ascii="Times New Roman" w:eastAsia="Times New Roman" w:hAnsi="Times New Roman" w:cs="Times New Roman"/>
          <w:sz w:val="28"/>
          <w:szCs w:val="28"/>
        </w:rPr>
        <w:t xml:space="preserve"> це комплексна система регулювання банківського сектору в Європейському Союзі, створена для забезпечення фінансової стабільності, підвищення довіри до банківської системи та зниження ризиків на фінансових ринках. Банківський союз має на меті інтеграцію нагляду за банківськими установами, координацію в управлінні кризами та забезпечення стабільності на єдиному ринку. </w:t>
      </w:r>
    </w:p>
    <w:p w:rsidR="00DF2008" w:rsidRPr="00DF2008" w:rsidRDefault="00DF2008" w:rsidP="00DF2008">
      <w:pPr>
        <w:spacing w:after="0" w:line="288" w:lineRule="auto"/>
        <w:ind w:firstLine="709"/>
        <w:jc w:val="both"/>
        <w:rPr>
          <w:rFonts w:ascii="Times New Roman" w:eastAsia="Times New Roman" w:hAnsi="Times New Roman" w:cs="Times New Roman"/>
          <w:b/>
          <w:i/>
          <w:sz w:val="28"/>
          <w:szCs w:val="28"/>
        </w:rPr>
      </w:pPr>
      <w:r w:rsidRPr="00DF2008">
        <w:rPr>
          <w:rFonts w:ascii="Times New Roman" w:eastAsia="Times New Roman" w:hAnsi="Times New Roman" w:cs="Times New Roman"/>
          <w:b/>
          <w:i/>
          <w:sz w:val="28"/>
          <w:szCs w:val="28"/>
        </w:rPr>
        <w:t>Основними компонентами Європейського банківського союзу є:</w:t>
      </w:r>
    </w:p>
    <w:p w:rsidR="00DF2008" w:rsidRPr="00DF2008" w:rsidRDefault="00DF2008" w:rsidP="00DF2008">
      <w:pPr>
        <w:spacing w:after="0" w:line="288" w:lineRule="auto"/>
        <w:ind w:firstLine="709"/>
        <w:jc w:val="both"/>
        <w:outlineLvl w:val="2"/>
        <w:rPr>
          <w:rFonts w:ascii="Times New Roman" w:eastAsia="Times New Roman" w:hAnsi="Times New Roman" w:cs="Times New Roman"/>
          <w:i/>
          <w:sz w:val="28"/>
          <w:szCs w:val="28"/>
        </w:rPr>
      </w:pPr>
      <w:r w:rsidRPr="00DF2008">
        <w:rPr>
          <w:rFonts w:ascii="Times New Roman" w:eastAsia="Times New Roman" w:hAnsi="Times New Roman" w:cs="Times New Roman"/>
          <w:b/>
          <w:bCs/>
          <w:sz w:val="28"/>
          <w:szCs w:val="28"/>
        </w:rPr>
        <w:t>1. Єдиний наглядовий механізм (Single Supervisory Mechanism, SSM)</w:t>
      </w:r>
      <w:r>
        <w:rPr>
          <w:rFonts w:ascii="Times New Roman" w:eastAsia="Times New Roman" w:hAnsi="Times New Roman" w:cs="Times New Roman"/>
          <w:b/>
          <w:bCs/>
          <w:sz w:val="28"/>
          <w:szCs w:val="28"/>
          <w:lang w:val="uk-UA"/>
        </w:rPr>
        <w:t xml:space="preserve">. </w:t>
      </w:r>
      <w:r w:rsidRPr="00DF2008">
        <w:rPr>
          <w:rFonts w:ascii="Times New Roman" w:eastAsia="Times New Roman" w:hAnsi="Times New Roman" w:cs="Times New Roman"/>
          <w:sz w:val="28"/>
          <w:szCs w:val="28"/>
        </w:rPr>
        <w:t xml:space="preserve">SSM </w:t>
      </w:r>
      <w:r w:rsidRPr="00DF2008">
        <w:rPr>
          <w:rFonts w:ascii="Times New Roman" w:hAnsi="Times New Roman" w:cs="Times New Roman"/>
          <w:sz w:val="28"/>
          <w:szCs w:val="28"/>
        </w:rPr>
        <w:t>–</w:t>
      </w:r>
      <w:r w:rsidRPr="00DF2008">
        <w:rPr>
          <w:rFonts w:ascii="Times New Roman" w:eastAsia="Times New Roman" w:hAnsi="Times New Roman" w:cs="Times New Roman"/>
          <w:sz w:val="28"/>
          <w:szCs w:val="28"/>
        </w:rPr>
        <w:t xml:space="preserve"> це централізована система банківського нагляду, в рамках якої Європейський центральний банк (ЄЦБ) здійснює нагляд за найбільшими банками в країнах єврозони, а також за тими, які вирішили приєднатися до цього механізму. SSM було створено для забезпечення ефективного і прозорого нагляду за системно важливими банками, зменшення ризиків на національних ринках і посилення довіри до банківського сектору. </w:t>
      </w:r>
      <w:r w:rsidRPr="00DF2008">
        <w:rPr>
          <w:rFonts w:ascii="Times New Roman" w:eastAsia="Times New Roman" w:hAnsi="Times New Roman" w:cs="Times New Roman"/>
          <w:i/>
          <w:sz w:val="28"/>
          <w:szCs w:val="28"/>
        </w:rPr>
        <w:t>Основні функції SSM включають:</w:t>
      </w:r>
    </w:p>
    <w:p w:rsidR="00DF2008" w:rsidRPr="002B4A26" w:rsidRDefault="002B4A26" w:rsidP="002B4A26">
      <w:pPr>
        <w:pStyle w:val="a3"/>
        <w:numPr>
          <w:ilvl w:val="0"/>
          <w:numId w:val="29"/>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п</w:t>
      </w:r>
      <w:r w:rsidR="00DF2008" w:rsidRPr="002B4A26">
        <w:rPr>
          <w:rFonts w:ascii="Times New Roman" w:eastAsia="Times New Roman" w:hAnsi="Times New Roman" w:cs="Times New Roman"/>
          <w:sz w:val="28"/>
          <w:szCs w:val="28"/>
        </w:rPr>
        <w:t>роведення прямих перевірок великих банків.</w:t>
      </w:r>
    </w:p>
    <w:p w:rsidR="00DF2008" w:rsidRPr="002B4A26" w:rsidRDefault="002B4A26" w:rsidP="002B4A26">
      <w:pPr>
        <w:pStyle w:val="a3"/>
        <w:numPr>
          <w:ilvl w:val="0"/>
          <w:numId w:val="29"/>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в</w:t>
      </w:r>
      <w:r w:rsidR="00DF2008" w:rsidRPr="002B4A26">
        <w:rPr>
          <w:rFonts w:ascii="Times New Roman" w:eastAsia="Times New Roman" w:hAnsi="Times New Roman" w:cs="Times New Roman"/>
          <w:sz w:val="28"/>
          <w:szCs w:val="28"/>
        </w:rPr>
        <w:t>становлення стандартів для проведення наглядових перевірок на національному рівні.</w:t>
      </w:r>
    </w:p>
    <w:p w:rsidR="00DF2008" w:rsidRPr="002B4A26" w:rsidRDefault="002B4A26" w:rsidP="002B4A26">
      <w:pPr>
        <w:pStyle w:val="a3"/>
        <w:numPr>
          <w:ilvl w:val="0"/>
          <w:numId w:val="29"/>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з</w:t>
      </w:r>
      <w:r w:rsidR="00DF2008" w:rsidRPr="002B4A26">
        <w:rPr>
          <w:rFonts w:ascii="Times New Roman" w:eastAsia="Times New Roman" w:hAnsi="Times New Roman" w:cs="Times New Roman"/>
          <w:sz w:val="28"/>
          <w:szCs w:val="28"/>
        </w:rPr>
        <w:t>абезпечення однакових стандартів для всіх банків у єврозоні та країн, які приєдналися до механізму.</w:t>
      </w:r>
    </w:p>
    <w:p w:rsidR="00DF2008" w:rsidRPr="00DF2008" w:rsidRDefault="00DF2008" w:rsidP="00DF2008">
      <w:pPr>
        <w:spacing w:after="0" w:line="288" w:lineRule="auto"/>
        <w:ind w:firstLine="709"/>
        <w:jc w:val="both"/>
        <w:rPr>
          <w:rFonts w:ascii="Times New Roman" w:eastAsia="Times New Roman" w:hAnsi="Times New Roman" w:cs="Times New Roman"/>
          <w:sz w:val="28"/>
          <w:szCs w:val="28"/>
        </w:rPr>
      </w:pPr>
      <w:r w:rsidRPr="00DF2008">
        <w:rPr>
          <w:rFonts w:ascii="Times New Roman" w:eastAsia="Times New Roman" w:hAnsi="Times New Roman" w:cs="Times New Roman"/>
          <w:sz w:val="28"/>
          <w:szCs w:val="28"/>
        </w:rPr>
        <w:t>SSM сприяє централізації контролю та координації наглядових дій між ЄЦБ і національними регуляторами, що дозволяє зменшити ризики, пов’язані з асиметричною інформацією, та підвищити загальну стабільність.</w:t>
      </w:r>
    </w:p>
    <w:p w:rsidR="00DF2008" w:rsidRPr="00DF2008" w:rsidRDefault="00DF2008" w:rsidP="002B4A26">
      <w:pPr>
        <w:spacing w:after="0" w:line="288" w:lineRule="auto"/>
        <w:ind w:firstLine="709"/>
        <w:jc w:val="both"/>
        <w:outlineLvl w:val="2"/>
        <w:rPr>
          <w:rFonts w:ascii="Times New Roman" w:eastAsia="Times New Roman" w:hAnsi="Times New Roman" w:cs="Times New Roman"/>
          <w:i/>
          <w:sz w:val="28"/>
          <w:szCs w:val="28"/>
        </w:rPr>
      </w:pPr>
      <w:r w:rsidRPr="00DF2008">
        <w:rPr>
          <w:rFonts w:ascii="Times New Roman" w:eastAsia="Times New Roman" w:hAnsi="Times New Roman" w:cs="Times New Roman"/>
          <w:b/>
          <w:bCs/>
          <w:sz w:val="28"/>
          <w:szCs w:val="28"/>
        </w:rPr>
        <w:t>2. Єдиний механізм вирішення проблем (Single Resolution Mechanism, SRM)</w:t>
      </w:r>
      <w:r w:rsidR="002B4A26">
        <w:rPr>
          <w:rFonts w:ascii="Times New Roman" w:eastAsia="Times New Roman" w:hAnsi="Times New Roman" w:cs="Times New Roman"/>
          <w:b/>
          <w:bCs/>
          <w:sz w:val="28"/>
          <w:szCs w:val="28"/>
          <w:lang w:val="uk-UA"/>
        </w:rPr>
        <w:t xml:space="preserve">. </w:t>
      </w:r>
      <w:r w:rsidRPr="00DF2008">
        <w:rPr>
          <w:rFonts w:ascii="Times New Roman" w:eastAsia="Times New Roman" w:hAnsi="Times New Roman" w:cs="Times New Roman"/>
          <w:sz w:val="28"/>
          <w:szCs w:val="28"/>
        </w:rPr>
        <w:t xml:space="preserve">SRM був створений для швидкого та ефективного врегулювання кризових ситуацій у банківському секторі, що дозволяє знизити фінансовий тиск на держави-члени та запобігти банківським кризам. SRM охоплює всі банки, які підпадають під нагляд SSM. </w:t>
      </w:r>
      <w:r w:rsidRPr="00DF2008">
        <w:rPr>
          <w:rFonts w:ascii="Times New Roman" w:eastAsia="Times New Roman" w:hAnsi="Times New Roman" w:cs="Times New Roman"/>
          <w:i/>
          <w:sz w:val="28"/>
          <w:szCs w:val="28"/>
        </w:rPr>
        <w:t>Основні цілі SRM включають:</w:t>
      </w:r>
    </w:p>
    <w:p w:rsidR="00DF2008" w:rsidRPr="002B4A26" w:rsidRDefault="002B4A26" w:rsidP="002B4A26">
      <w:pPr>
        <w:pStyle w:val="a3"/>
        <w:numPr>
          <w:ilvl w:val="0"/>
          <w:numId w:val="30"/>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р</w:t>
      </w:r>
      <w:r w:rsidR="00DF2008" w:rsidRPr="002B4A26">
        <w:rPr>
          <w:rFonts w:ascii="Times New Roman" w:eastAsia="Times New Roman" w:hAnsi="Times New Roman" w:cs="Times New Roman"/>
          <w:sz w:val="28"/>
          <w:szCs w:val="28"/>
        </w:rPr>
        <w:t>озробку планів вирішення для банків, які опинилися в кризовій ситуації.</w:t>
      </w:r>
    </w:p>
    <w:p w:rsidR="00DF2008" w:rsidRPr="002B4A26" w:rsidRDefault="002B4A26" w:rsidP="002B4A26">
      <w:pPr>
        <w:pStyle w:val="a3"/>
        <w:numPr>
          <w:ilvl w:val="0"/>
          <w:numId w:val="30"/>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lastRenderedPageBreak/>
        <w:t>з</w:t>
      </w:r>
      <w:r w:rsidR="00DF2008" w:rsidRPr="002B4A26">
        <w:rPr>
          <w:rFonts w:ascii="Times New Roman" w:eastAsia="Times New Roman" w:hAnsi="Times New Roman" w:cs="Times New Roman"/>
          <w:sz w:val="28"/>
          <w:szCs w:val="28"/>
        </w:rPr>
        <w:t>ахист коштів платників податків за рахунок використання банківського фонду вирішення проблем (Single Resolution Fund, SRF).</w:t>
      </w:r>
    </w:p>
    <w:p w:rsidR="00DF2008" w:rsidRPr="002B4A26" w:rsidRDefault="002B4A26" w:rsidP="002B4A26">
      <w:pPr>
        <w:pStyle w:val="a3"/>
        <w:numPr>
          <w:ilvl w:val="0"/>
          <w:numId w:val="30"/>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з</w:t>
      </w:r>
      <w:r w:rsidR="00DF2008" w:rsidRPr="002B4A26">
        <w:rPr>
          <w:rFonts w:ascii="Times New Roman" w:eastAsia="Times New Roman" w:hAnsi="Times New Roman" w:cs="Times New Roman"/>
          <w:sz w:val="28"/>
          <w:szCs w:val="28"/>
        </w:rPr>
        <w:t>меншення ризику, пов’язаного з «банками, які занадто великі, щоб збанкрутувати», через забезпечення контрольованого виходу з ринку банків, які не здатні виконати свої зобов’язання.</w:t>
      </w:r>
    </w:p>
    <w:p w:rsidR="00DF2008" w:rsidRPr="00DF2008" w:rsidRDefault="00DF2008" w:rsidP="00DF2008">
      <w:pPr>
        <w:spacing w:after="0" w:line="288" w:lineRule="auto"/>
        <w:ind w:firstLine="709"/>
        <w:jc w:val="both"/>
        <w:rPr>
          <w:rFonts w:ascii="Times New Roman" w:eastAsia="Times New Roman" w:hAnsi="Times New Roman" w:cs="Times New Roman"/>
          <w:sz w:val="28"/>
          <w:szCs w:val="28"/>
        </w:rPr>
      </w:pPr>
      <w:r w:rsidRPr="00DF2008">
        <w:rPr>
          <w:rFonts w:ascii="Times New Roman" w:eastAsia="Times New Roman" w:hAnsi="Times New Roman" w:cs="Times New Roman"/>
          <w:sz w:val="28"/>
          <w:szCs w:val="28"/>
        </w:rPr>
        <w:t>SRM функціонує під керівництвом Єдиного комітету з вирішення проблем (Single Resolution Board, SRB), який співпрацює з національними органами вирішення проблем для координації дій у випадку кризи.</w:t>
      </w:r>
    </w:p>
    <w:p w:rsidR="00DF2008" w:rsidRPr="00DF2008" w:rsidRDefault="00DF2008" w:rsidP="002B4A26">
      <w:pPr>
        <w:spacing w:after="0" w:line="288" w:lineRule="auto"/>
        <w:ind w:firstLine="709"/>
        <w:jc w:val="both"/>
        <w:outlineLvl w:val="2"/>
        <w:rPr>
          <w:rFonts w:ascii="Times New Roman" w:eastAsia="Times New Roman" w:hAnsi="Times New Roman" w:cs="Times New Roman"/>
          <w:i/>
          <w:sz w:val="28"/>
          <w:szCs w:val="28"/>
        </w:rPr>
      </w:pPr>
      <w:r w:rsidRPr="00DF2008">
        <w:rPr>
          <w:rFonts w:ascii="Times New Roman" w:eastAsia="Times New Roman" w:hAnsi="Times New Roman" w:cs="Times New Roman"/>
          <w:b/>
          <w:bCs/>
          <w:sz w:val="28"/>
          <w:szCs w:val="28"/>
        </w:rPr>
        <w:t>3. Єдина система страхування депозитів (European Deposit Insurance Scheme, EDIS)</w:t>
      </w:r>
      <w:r w:rsidR="002B4A26">
        <w:rPr>
          <w:rFonts w:ascii="Times New Roman" w:eastAsia="Times New Roman" w:hAnsi="Times New Roman" w:cs="Times New Roman"/>
          <w:b/>
          <w:bCs/>
          <w:sz w:val="28"/>
          <w:szCs w:val="28"/>
          <w:lang w:val="uk-UA"/>
        </w:rPr>
        <w:t xml:space="preserve">. </w:t>
      </w:r>
      <w:r w:rsidRPr="00DF2008">
        <w:rPr>
          <w:rFonts w:ascii="Times New Roman" w:eastAsia="Times New Roman" w:hAnsi="Times New Roman" w:cs="Times New Roman"/>
          <w:sz w:val="28"/>
          <w:szCs w:val="28"/>
        </w:rPr>
        <w:t xml:space="preserve">EDIS </w:t>
      </w:r>
      <w:r w:rsidR="002B4A26" w:rsidRPr="00DF2008">
        <w:rPr>
          <w:rFonts w:ascii="Times New Roman" w:hAnsi="Times New Roman" w:cs="Times New Roman"/>
          <w:sz w:val="28"/>
          <w:szCs w:val="28"/>
        </w:rPr>
        <w:t>–</w:t>
      </w:r>
      <w:r w:rsidRPr="00DF2008">
        <w:rPr>
          <w:rFonts w:ascii="Times New Roman" w:eastAsia="Times New Roman" w:hAnsi="Times New Roman" w:cs="Times New Roman"/>
          <w:sz w:val="28"/>
          <w:szCs w:val="28"/>
        </w:rPr>
        <w:t xml:space="preserve"> це ще один важливий елемент банківського союзу, який спрямований на захист вкладників у випадку банкрутства банку. Основна мета EDIS </w:t>
      </w:r>
      <w:r w:rsidR="002B4A26" w:rsidRPr="00DF2008">
        <w:rPr>
          <w:rFonts w:ascii="Times New Roman" w:hAnsi="Times New Roman" w:cs="Times New Roman"/>
          <w:sz w:val="28"/>
          <w:szCs w:val="28"/>
        </w:rPr>
        <w:t>–</w:t>
      </w:r>
      <w:r w:rsidRPr="00DF2008">
        <w:rPr>
          <w:rFonts w:ascii="Times New Roman" w:eastAsia="Times New Roman" w:hAnsi="Times New Roman" w:cs="Times New Roman"/>
          <w:sz w:val="28"/>
          <w:szCs w:val="28"/>
        </w:rPr>
        <w:t xml:space="preserve"> забезпечити однаковий рівень захисту для вкладників незалежно від місцезнаходження банку в межах ЄС. </w:t>
      </w:r>
      <w:r w:rsidRPr="00DF2008">
        <w:rPr>
          <w:rFonts w:ascii="Times New Roman" w:eastAsia="Times New Roman" w:hAnsi="Times New Roman" w:cs="Times New Roman"/>
          <w:i/>
          <w:sz w:val="28"/>
          <w:szCs w:val="28"/>
        </w:rPr>
        <w:t>Система EDIS:</w:t>
      </w:r>
    </w:p>
    <w:p w:rsidR="00DF2008" w:rsidRPr="002B4A26" w:rsidRDefault="002B4A26" w:rsidP="002B4A26">
      <w:pPr>
        <w:pStyle w:val="a3"/>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г</w:t>
      </w:r>
      <w:r w:rsidR="00DF2008" w:rsidRPr="002B4A26">
        <w:rPr>
          <w:rFonts w:ascii="Times New Roman" w:eastAsia="Times New Roman" w:hAnsi="Times New Roman" w:cs="Times New Roman"/>
          <w:sz w:val="28"/>
          <w:szCs w:val="28"/>
        </w:rPr>
        <w:t>арантує захист депозитів до певного ліміту (зазвичай 100 000 євро).</w:t>
      </w:r>
    </w:p>
    <w:p w:rsidR="00DF2008" w:rsidRPr="002B4A26" w:rsidRDefault="002B4A26" w:rsidP="002B4A26">
      <w:pPr>
        <w:pStyle w:val="a3"/>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з</w:t>
      </w:r>
      <w:r w:rsidR="00DF2008" w:rsidRPr="002B4A26">
        <w:rPr>
          <w:rFonts w:ascii="Times New Roman" w:eastAsia="Times New Roman" w:hAnsi="Times New Roman" w:cs="Times New Roman"/>
          <w:sz w:val="28"/>
          <w:szCs w:val="28"/>
        </w:rPr>
        <w:t>абезпечує фінансову підтримку національним системам страхування депозитів.</w:t>
      </w:r>
    </w:p>
    <w:p w:rsidR="00DF2008" w:rsidRPr="002B4A26" w:rsidRDefault="002B4A26" w:rsidP="002B4A26">
      <w:pPr>
        <w:pStyle w:val="a3"/>
        <w:numPr>
          <w:ilvl w:val="0"/>
          <w:numId w:val="31"/>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sz w:val="28"/>
          <w:szCs w:val="28"/>
        </w:rPr>
        <w:t>п</w:t>
      </w:r>
      <w:r w:rsidR="00DF2008" w:rsidRPr="002B4A26">
        <w:rPr>
          <w:rFonts w:ascii="Times New Roman" w:eastAsia="Times New Roman" w:hAnsi="Times New Roman" w:cs="Times New Roman"/>
          <w:sz w:val="28"/>
          <w:szCs w:val="28"/>
        </w:rPr>
        <w:t>ідвищує довіру вкладників до банківського сектору, що сприяє фінансовій стабільності в регіоні.</w:t>
      </w:r>
    </w:p>
    <w:p w:rsidR="00DF2008" w:rsidRPr="00DF2008" w:rsidRDefault="00DF2008" w:rsidP="00DF2008">
      <w:pPr>
        <w:spacing w:after="0" w:line="288" w:lineRule="auto"/>
        <w:ind w:firstLine="709"/>
        <w:jc w:val="both"/>
        <w:rPr>
          <w:rFonts w:ascii="Times New Roman" w:eastAsia="Times New Roman" w:hAnsi="Times New Roman" w:cs="Times New Roman"/>
          <w:sz w:val="28"/>
          <w:szCs w:val="28"/>
        </w:rPr>
      </w:pPr>
      <w:r w:rsidRPr="00DF2008">
        <w:rPr>
          <w:rFonts w:ascii="Times New Roman" w:eastAsia="Times New Roman" w:hAnsi="Times New Roman" w:cs="Times New Roman"/>
          <w:sz w:val="28"/>
          <w:szCs w:val="28"/>
        </w:rPr>
        <w:t>Незважаючи на те, що EDIS ще не повністю імплементована, її запровадження в майбутньому дозволить досягти вищого рівня фінансового захисту для вкладників і сприятиме стабільності європейської банківської системи.</w:t>
      </w:r>
    </w:p>
    <w:p w:rsidR="00DF2008" w:rsidRPr="00DF2008" w:rsidRDefault="00DF2008" w:rsidP="002B4A26">
      <w:pPr>
        <w:spacing w:after="0" w:line="288" w:lineRule="auto"/>
        <w:ind w:firstLine="709"/>
        <w:jc w:val="both"/>
        <w:outlineLvl w:val="2"/>
        <w:rPr>
          <w:rFonts w:ascii="Times New Roman" w:eastAsia="Times New Roman" w:hAnsi="Times New Roman" w:cs="Times New Roman"/>
          <w:sz w:val="28"/>
          <w:szCs w:val="28"/>
        </w:rPr>
      </w:pPr>
      <w:r w:rsidRPr="00DF2008">
        <w:rPr>
          <w:rFonts w:ascii="Times New Roman" w:eastAsia="Times New Roman" w:hAnsi="Times New Roman" w:cs="Times New Roman"/>
          <w:b/>
          <w:bCs/>
          <w:sz w:val="28"/>
          <w:szCs w:val="28"/>
        </w:rPr>
        <w:t>4. Механізми регуляції та вплив на банківський сектор</w:t>
      </w:r>
      <w:r w:rsidR="002B4A26">
        <w:rPr>
          <w:rFonts w:ascii="Times New Roman" w:eastAsia="Times New Roman" w:hAnsi="Times New Roman" w:cs="Times New Roman"/>
          <w:b/>
          <w:bCs/>
          <w:sz w:val="28"/>
          <w:szCs w:val="28"/>
          <w:lang w:val="uk-UA"/>
        </w:rPr>
        <w:t xml:space="preserve">. </w:t>
      </w:r>
      <w:r w:rsidRPr="00DF2008">
        <w:rPr>
          <w:rFonts w:ascii="Times New Roman" w:eastAsia="Times New Roman" w:hAnsi="Times New Roman" w:cs="Times New Roman"/>
          <w:sz w:val="28"/>
          <w:szCs w:val="28"/>
        </w:rPr>
        <w:t>Регуляція банківського сектору в ЄС спирається на міжнародні стандарти, такі як Базельські угоди (Basel III), що встановлюють вимоги до капіталу, ліквідності та управління ризиками. Європейський банківський союз також працює над впровадженням додаткових нормативних актів для забезпечення прозорості та стабільності банківської діяльності, зокрема:</w:t>
      </w:r>
    </w:p>
    <w:p w:rsidR="00DF2008" w:rsidRPr="002B4A26" w:rsidRDefault="002B4A26" w:rsidP="002B4A26">
      <w:pPr>
        <w:pStyle w:val="a3"/>
        <w:numPr>
          <w:ilvl w:val="0"/>
          <w:numId w:val="32"/>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bCs/>
          <w:i/>
          <w:sz w:val="28"/>
          <w:szCs w:val="28"/>
        </w:rPr>
        <w:t>в</w:t>
      </w:r>
      <w:r w:rsidR="00DF2008" w:rsidRPr="002B4A26">
        <w:rPr>
          <w:rFonts w:ascii="Times New Roman" w:eastAsia="Times New Roman" w:hAnsi="Times New Roman" w:cs="Times New Roman"/>
          <w:bCs/>
          <w:i/>
          <w:sz w:val="28"/>
          <w:szCs w:val="28"/>
        </w:rPr>
        <w:t>имоги до капіталу та ліквідності</w:t>
      </w:r>
      <w:r w:rsidRPr="002B4A26">
        <w:rPr>
          <w:rFonts w:ascii="Times New Roman" w:eastAsia="Times New Roman" w:hAnsi="Times New Roman" w:cs="Times New Roman"/>
          <w:b/>
          <w:bCs/>
          <w:sz w:val="28"/>
          <w:szCs w:val="28"/>
          <w:lang w:val="uk-UA"/>
        </w:rPr>
        <w:t xml:space="preserve"> </w:t>
      </w:r>
      <w:r w:rsidRPr="002B4A26">
        <w:rPr>
          <w:rFonts w:ascii="Times New Roman" w:hAnsi="Times New Roman" w:cs="Times New Roman"/>
          <w:sz w:val="28"/>
          <w:szCs w:val="28"/>
        </w:rPr>
        <w:t>–</w:t>
      </w:r>
      <w:r w:rsidR="00DF2008" w:rsidRPr="002B4A26">
        <w:rPr>
          <w:rFonts w:ascii="Times New Roman" w:eastAsia="Times New Roman" w:hAnsi="Times New Roman" w:cs="Times New Roman"/>
          <w:sz w:val="28"/>
          <w:szCs w:val="28"/>
        </w:rPr>
        <w:t xml:space="preserve"> Базель III вимагає, щоб банки мали достатній рівень капіталу та ліквідності для покриття ризиків. В ЄС ці стандарти впроваджені через регламент CRR і директиву CRD IV, які визначають мінімальні нормативи капіталу та ліквідності.</w:t>
      </w:r>
    </w:p>
    <w:p w:rsidR="00DF2008" w:rsidRPr="002B4A26" w:rsidRDefault="002B4A26" w:rsidP="002B4A26">
      <w:pPr>
        <w:pStyle w:val="a3"/>
        <w:numPr>
          <w:ilvl w:val="0"/>
          <w:numId w:val="32"/>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bCs/>
          <w:i/>
          <w:sz w:val="28"/>
          <w:szCs w:val="28"/>
        </w:rPr>
        <w:t>с</w:t>
      </w:r>
      <w:r w:rsidR="00DF2008" w:rsidRPr="002B4A26">
        <w:rPr>
          <w:rFonts w:ascii="Times New Roman" w:eastAsia="Times New Roman" w:hAnsi="Times New Roman" w:cs="Times New Roman"/>
          <w:bCs/>
          <w:i/>
          <w:sz w:val="28"/>
          <w:szCs w:val="28"/>
        </w:rPr>
        <w:t>истеми моніторингу та звітності</w:t>
      </w:r>
      <w:r w:rsidRPr="002B4A26">
        <w:rPr>
          <w:rFonts w:ascii="Times New Roman" w:eastAsia="Times New Roman" w:hAnsi="Times New Roman" w:cs="Times New Roman"/>
          <w:b/>
          <w:bCs/>
          <w:sz w:val="28"/>
          <w:szCs w:val="28"/>
          <w:lang w:val="uk-UA"/>
        </w:rPr>
        <w:t xml:space="preserve"> </w:t>
      </w:r>
      <w:r w:rsidRPr="002B4A26">
        <w:rPr>
          <w:rFonts w:ascii="Times New Roman" w:hAnsi="Times New Roman" w:cs="Times New Roman"/>
          <w:sz w:val="28"/>
          <w:szCs w:val="28"/>
        </w:rPr>
        <w:t>–</w:t>
      </w:r>
      <w:r w:rsidR="00DF2008" w:rsidRPr="002B4A26">
        <w:rPr>
          <w:rFonts w:ascii="Times New Roman" w:eastAsia="Times New Roman" w:hAnsi="Times New Roman" w:cs="Times New Roman"/>
          <w:sz w:val="28"/>
          <w:szCs w:val="28"/>
        </w:rPr>
        <w:t xml:space="preserve"> </w:t>
      </w:r>
      <w:r w:rsidRPr="002B4A26">
        <w:rPr>
          <w:rFonts w:ascii="Times New Roman" w:eastAsia="Times New Roman" w:hAnsi="Times New Roman" w:cs="Times New Roman"/>
          <w:sz w:val="28"/>
          <w:szCs w:val="28"/>
        </w:rPr>
        <w:t>р</w:t>
      </w:r>
      <w:r w:rsidR="00DF2008" w:rsidRPr="002B4A26">
        <w:rPr>
          <w:rFonts w:ascii="Times New Roman" w:eastAsia="Times New Roman" w:hAnsi="Times New Roman" w:cs="Times New Roman"/>
          <w:sz w:val="28"/>
          <w:szCs w:val="28"/>
        </w:rPr>
        <w:t>егулятори вимагають від банків регулярного надання фінансової звітності та інформації про ризики. Це дозволяє наглядовим органам своєчасно реагувати на зміни в фінансовому стані банків.</w:t>
      </w:r>
    </w:p>
    <w:p w:rsidR="00DF2008" w:rsidRPr="002B4A26" w:rsidRDefault="002B4A26" w:rsidP="002B4A26">
      <w:pPr>
        <w:pStyle w:val="a3"/>
        <w:numPr>
          <w:ilvl w:val="0"/>
          <w:numId w:val="32"/>
        </w:numPr>
        <w:tabs>
          <w:tab w:val="left" w:pos="993"/>
        </w:tabs>
        <w:spacing w:after="0" w:line="288" w:lineRule="auto"/>
        <w:ind w:left="0" w:firstLine="709"/>
        <w:jc w:val="both"/>
        <w:rPr>
          <w:rFonts w:ascii="Times New Roman" w:eastAsia="Times New Roman" w:hAnsi="Times New Roman" w:cs="Times New Roman"/>
          <w:sz w:val="28"/>
          <w:szCs w:val="28"/>
        </w:rPr>
      </w:pPr>
      <w:r w:rsidRPr="002B4A26">
        <w:rPr>
          <w:rFonts w:ascii="Times New Roman" w:eastAsia="Times New Roman" w:hAnsi="Times New Roman" w:cs="Times New Roman"/>
          <w:bCs/>
          <w:i/>
          <w:sz w:val="28"/>
          <w:szCs w:val="28"/>
        </w:rPr>
        <w:lastRenderedPageBreak/>
        <w:t>р</w:t>
      </w:r>
      <w:r w:rsidR="00DF2008" w:rsidRPr="002B4A26">
        <w:rPr>
          <w:rFonts w:ascii="Times New Roman" w:eastAsia="Times New Roman" w:hAnsi="Times New Roman" w:cs="Times New Roman"/>
          <w:bCs/>
          <w:i/>
          <w:sz w:val="28"/>
          <w:szCs w:val="28"/>
        </w:rPr>
        <w:t>изик-орієнтований підхід</w:t>
      </w:r>
      <w:r w:rsidRPr="002B4A26">
        <w:rPr>
          <w:rFonts w:ascii="Times New Roman" w:eastAsia="Times New Roman" w:hAnsi="Times New Roman" w:cs="Times New Roman"/>
          <w:b/>
          <w:bCs/>
          <w:sz w:val="28"/>
          <w:szCs w:val="28"/>
          <w:lang w:val="uk-UA"/>
        </w:rPr>
        <w:t xml:space="preserve"> </w:t>
      </w:r>
      <w:r w:rsidRPr="002B4A26">
        <w:rPr>
          <w:rFonts w:ascii="Times New Roman" w:hAnsi="Times New Roman" w:cs="Times New Roman"/>
          <w:sz w:val="28"/>
          <w:szCs w:val="28"/>
        </w:rPr>
        <w:t>–</w:t>
      </w:r>
      <w:r w:rsidR="00DF2008" w:rsidRPr="002B4A26">
        <w:rPr>
          <w:rFonts w:ascii="Times New Roman" w:eastAsia="Times New Roman" w:hAnsi="Times New Roman" w:cs="Times New Roman"/>
          <w:sz w:val="28"/>
          <w:szCs w:val="28"/>
        </w:rPr>
        <w:t xml:space="preserve"> </w:t>
      </w:r>
      <w:r w:rsidRPr="002B4A26">
        <w:rPr>
          <w:rFonts w:ascii="Times New Roman" w:eastAsia="Times New Roman" w:hAnsi="Times New Roman" w:cs="Times New Roman"/>
          <w:sz w:val="28"/>
          <w:szCs w:val="28"/>
        </w:rPr>
        <w:t>в</w:t>
      </w:r>
      <w:r w:rsidR="00DF2008" w:rsidRPr="002B4A26">
        <w:rPr>
          <w:rFonts w:ascii="Times New Roman" w:eastAsia="Times New Roman" w:hAnsi="Times New Roman" w:cs="Times New Roman"/>
          <w:sz w:val="28"/>
          <w:szCs w:val="28"/>
        </w:rPr>
        <w:t>провадження ризик-орієнтованих стандартів дозволяє ефективніше управляти потенційними ризиками, які можуть виникнути в банківській системі.</w:t>
      </w:r>
    </w:p>
    <w:p w:rsidR="00DF2008" w:rsidRPr="00DF2008" w:rsidRDefault="00DF2008" w:rsidP="00DF2008">
      <w:pPr>
        <w:spacing w:after="0" w:line="288" w:lineRule="auto"/>
        <w:ind w:firstLine="709"/>
        <w:jc w:val="both"/>
        <w:rPr>
          <w:rFonts w:ascii="Times New Roman" w:eastAsia="Times New Roman" w:hAnsi="Times New Roman" w:cs="Times New Roman"/>
          <w:sz w:val="28"/>
          <w:szCs w:val="28"/>
        </w:rPr>
      </w:pPr>
      <w:r w:rsidRPr="00DF2008">
        <w:rPr>
          <w:rFonts w:ascii="Times New Roman" w:eastAsia="Times New Roman" w:hAnsi="Times New Roman" w:cs="Times New Roman"/>
          <w:sz w:val="28"/>
          <w:szCs w:val="28"/>
        </w:rPr>
        <w:t xml:space="preserve">Європейський банківський союз є </w:t>
      </w:r>
      <w:r w:rsidR="002B4A26">
        <w:rPr>
          <w:rFonts w:ascii="Times New Roman" w:eastAsia="Times New Roman" w:hAnsi="Times New Roman" w:cs="Times New Roman"/>
          <w:sz w:val="28"/>
          <w:szCs w:val="28"/>
          <w:lang w:val="uk-UA"/>
        </w:rPr>
        <w:t>важливою</w:t>
      </w:r>
      <w:r w:rsidRPr="00DF2008">
        <w:rPr>
          <w:rFonts w:ascii="Times New Roman" w:eastAsia="Times New Roman" w:hAnsi="Times New Roman" w:cs="Times New Roman"/>
          <w:sz w:val="28"/>
          <w:szCs w:val="28"/>
        </w:rPr>
        <w:t xml:space="preserve"> складовою регуляції фінансового сектору в ЄС. Завдяки централізації нагляду, ефективному механізму вирішення криз і захисту вкладників, банківський союз зміцнює фінансову стабільність у Європі та підвищує довіру до банківського сектору. Він також сприяє зменшенню ризиків, пов'язаних із розбіжностями у регулятивних підходах різних країн-членів, та забезпечує ефективнішу координацію в умовах фінансових криз.</w:t>
      </w:r>
    </w:p>
    <w:p w:rsidR="00DF2008" w:rsidRPr="00DF2008" w:rsidRDefault="00DF2008" w:rsidP="00DF2008">
      <w:pPr>
        <w:spacing w:after="0" w:line="288" w:lineRule="auto"/>
        <w:ind w:firstLine="709"/>
        <w:jc w:val="both"/>
        <w:rPr>
          <w:rFonts w:ascii="Times New Roman" w:eastAsia="Times New Roman" w:hAnsi="Times New Roman" w:cs="Times New Roman"/>
          <w:sz w:val="28"/>
          <w:szCs w:val="28"/>
        </w:rPr>
      </w:pPr>
      <w:r w:rsidRPr="00DF2008">
        <w:rPr>
          <w:rFonts w:ascii="Times New Roman" w:eastAsia="Times New Roman" w:hAnsi="Times New Roman" w:cs="Times New Roman"/>
          <w:sz w:val="28"/>
          <w:szCs w:val="28"/>
        </w:rPr>
        <w:t>Таким чином, Європейський банківський союз не лише сприяє інтеграції банківського ринку, але й створює міцну базу для фінансової стабільності в ЄС, що є важливим елементом для економічного розвитку регіону.</w:t>
      </w:r>
    </w:p>
    <w:p w:rsidR="00DF2008" w:rsidRDefault="00DF2008" w:rsidP="00DF2008">
      <w:pPr>
        <w:widowControl w:val="0"/>
        <w:spacing w:after="0" w:line="288" w:lineRule="auto"/>
        <w:ind w:firstLine="709"/>
        <w:jc w:val="both"/>
        <w:rPr>
          <w:rFonts w:ascii="Times New Roman" w:hAnsi="Times New Roman" w:cs="Times New Roman"/>
          <w:sz w:val="28"/>
          <w:szCs w:val="28"/>
          <w:lang w:val="uk-UA"/>
        </w:rPr>
      </w:pPr>
    </w:p>
    <w:p w:rsidR="002B4A26" w:rsidRDefault="002B4A26" w:rsidP="002B4A26">
      <w:pPr>
        <w:widowControl w:val="0"/>
        <w:spacing w:after="0" w:line="288" w:lineRule="auto"/>
        <w:ind w:firstLine="709"/>
        <w:jc w:val="center"/>
        <w:rPr>
          <w:rFonts w:ascii="Times New Roman" w:hAnsi="Times New Roman" w:cs="Times New Roman"/>
          <w:b/>
          <w:sz w:val="28"/>
          <w:szCs w:val="28"/>
          <w:lang w:val="uk-UA"/>
        </w:rPr>
      </w:pPr>
      <w:r w:rsidRPr="002B4A26">
        <w:rPr>
          <w:rFonts w:ascii="Times New Roman" w:hAnsi="Times New Roman" w:cs="Times New Roman"/>
          <w:b/>
          <w:sz w:val="28"/>
          <w:szCs w:val="28"/>
          <w:lang w:val="uk-UA"/>
        </w:rPr>
        <w:t>Питання для самоконтролю</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Яку роль відіграють фінансові ринки в економіці Європейського Союзу?</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Які основні сегменти фінансового ринку існують у ЄС, і які їхні особливості?</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Хто є основними учасниками фінансових ринків у ЄС, і яку роль вони виконують?</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Які головні цілі регуляції фінансових ринків у ЄС?</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Які інституції входять до Європейської системи фінансового нагляду (ESFS) та яка їхня спеціалізація?</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Які основні положення директиви MiFID II щодо захисту інвесторів і прозорості ринків?</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Які функції виконує Європейський орган банківського нагляду (EBA) в регулюванні банківської системи?</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Що таке Єдиний наглядовий механізм (SSM), і яку роль він відіграє у фінансовій системі ЄС?</w:t>
      </w:r>
    </w:p>
    <w:p w:rsidR="002B4A26" w:rsidRPr="002A3686" w:rsidRDefault="002B4A26" w:rsidP="002B4A26">
      <w:pPr>
        <w:spacing w:after="0" w:line="288" w:lineRule="auto"/>
        <w:ind w:firstLine="709"/>
        <w:jc w:val="both"/>
        <w:rPr>
          <w:rFonts w:ascii="Times New Roman" w:eastAsia="Times New Roman" w:hAnsi="Times New Roman" w:cs="Times New Roman"/>
          <w:sz w:val="28"/>
          <w:szCs w:val="28"/>
        </w:rPr>
      </w:pPr>
      <w:r w:rsidRPr="002A3686">
        <w:rPr>
          <w:rFonts w:ascii="Times New Roman" w:eastAsia="Times New Roman" w:hAnsi="Times New Roman" w:cs="Times New Roman"/>
          <w:sz w:val="28"/>
          <w:szCs w:val="28"/>
        </w:rPr>
        <w:t>Як діє Єдиний механізм вирішення проблем (SRM) і які його основні цілі?</w:t>
      </w:r>
    </w:p>
    <w:p w:rsidR="002B4A26" w:rsidRDefault="002B4A26" w:rsidP="002B4A26">
      <w:pPr>
        <w:spacing w:after="0" w:line="288" w:lineRule="auto"/>
        <w:ind w:firstLine="709"/>
        <w:jc w:val="both"/>
        <w:rPr>
          <w:rFonts w:ascii="Times New Roman" w:eastAsia="Times New Roman" w:hAnsi="Times New Roman" w:cs="Times New Roman"/>
          <w:sz w:val="28"/>
          <w:szCs w:val="28"/>
          <w:lang w:val="uk-UA"/>
        </w:rPr>
      </w:pPr>
      <w:r w:rsidRPr="002B4A26">
        <w:rPr>
          <w:rFonts w:ascii="Times New Roman" w:eastAsia="Times New Roman" w:hAnsi="Times New Roman" w:cs="Times New Roman"/>
          <w:sz w:val="28"/>
          <w:szCs w:val="28"/>
        </w:rPr>
        <w:t>Які основні регуляторні вимоги встановлює Базель III для банків у ЄС?</w:t>
      </w:r>
    </w:p>
    <w:p w:rsidR="00EC5C69" w:rsidRDefault="00EC5C69" w:rsidP="002B4A26">
      <w:pPr>
        <w:spacing w:after="0" w:line="288" w:lineRule="auto"/>
        <w:ind w:firstLine="709"/>
        <w:jc w:val="both"/>
        <w:rPr>
          <w:rFonts w:ascii="Times New Roman" w:eastAsia="Times New Roman" w:hAnsi="Times New Roman" w:cs="Times New Roman"/>
          <w:sz w:val="28"/>
          <w:szCs w:val="28"/>
          <w:lang w:val="uk-UA"/>
        </w:rPr>
      </w:pPr>
    </w:p>
    <w:p w:rsidR="00EC5C69" w:rsidRPr="00EC5C69" w:rsidRDefault="00EC5C69" w:rsidP="00EC5C69">
      <w:pPr>
        <w:pStyle w:val="a3"/>
        <w:widowControl w:val="0"/>
        <w:spacing w:after="0" w:line="288" w:lineRule="auto"/>
        <w:ind w:left="0" w:firstLine="709"/>
        <w:rPr>
          <w:rFonts w:ascii="Times New Roman" w:hAnsi="Times New Roman" w:cs="Times New Roman"/>
          <w:b/>
          <w:sz w:val="28"/>
          <w:szCs w:val="28"/>
          <w:lang w:val="uk-UA"/>
        </w:rPr>
      </w:pPr>
      <w:r w:rsidRPr="00EC5C69">
        <w:rPr>
          <w:rFonts w:ascii="Times New Roman" w:hAnsi="Times New Roman" w:cs="Times New Roman"/>
          <w:b/>
          <w:sz w:val="28"/>
          <w:szCs w:val="28"/>
          <w:lang w:val="uk-UA"/>
        </w:rPr>
        <w:t>Рекомендована література</w:t>
      </w:r>
    </w:p>
    <w:p w:rsidR="002B5A91" w:rsidRPr="00F93FFB" w:rsidRDefault="002B5A91" w:rsidP="00F93FFB">
      <w:pPr>
        <w:pStyle w:val="a3"/>
        <w:numPr>
          <w:ilvl w:val="0"/>
          <w:numId w:val="34"/>
        </w:numPr>
        <w:shd w:val="clear" w:color="auto" w:fill="FFFFFF"/>
        <w:tabs>
          <w:tab w:val="left" w:pos="1276"/>
        </w:tabs>
        <w:spacing w:after="0" w:line="288" w:lineRule="auto"/>
        <w:ind w:left="0" w:firstLine="709"/>
        <w:jc w:val="both"/>
        <w:rPr>
          <w:rFonts w:ascii="Times New Roman" w:eastAsia="Times New Roman" w:hAnsi="Times New Roman" w:cs="Times New Roman"/>
          <w:sz w:val="28"/>
          <w:szCs w:val="28"/>
          <w:lang w:val="uk-UA"/>
        </w:rPr>
      </w:pPr>
      <w:r w:rsidRPr="00F93FFB">
        <w:rPr>
          <w:rFonts w:ascii="Times New Roman" w:eastAsia="Times New Roman" w:hAnsi="Times New Roman" w:cs="Times New Roman"/>
          <w:sz w:val="28"/>
          <w:szCs w:val="28"/>
        </w:rPr>
        <w:t>Борзенко О.О., Богдан Т.П., Шаров О.М. та ін.Розвиток фінансових інститутів ЄС та виклики для фінансової політики України : монографія. НАН України, ДУ «Ін-т екон. та прогнозув. НАН України». Київ, 2019. 372 с.</w:t>
      </w:r>
      <w:r w:rsidR="005F3630" w:rsidRPr="00F93FFB">
        <w:rPr>
          <w:rFonts w:ascii="Times New Roman" w:eastAsia="Times New Roman" w:hAnsi="Times New Roman" w:cs="Times New Roman"/>
          <w:sz w:val="28"/>
          <w:szCs w:val="28"/>
          <w:lang w:val="uk-UA"/>
        </w:rPr>
        <w:t xml:space="preserve"> </w:t>
      </w:r>
      <w:r w:rsidR="004F556A" w:rsidRPr="00F93FFB">
        <w:rPr>
          <w:rFonts w:ascii="Times New Roman" w:hAnsi="Times New Roman" w:cs="Times New Roman"/>
          <w:sz w:val="28"/>
          <w:szCs w:val="28"/>
        </w:rPr>
        <w:t xml:space="preserve">URL: </w:t>
      </w:r>
      <w:hyperlink r:id="rId7" w:history="1">
        <w:r w:rsidR="004F556A" w:rsidRPr="00F93FFB">
          <w:rPr>
            <w:rStyle w:val="ab"/>
            <w:rFonts w:ascii="Times New Roman" w:eastAsia="Times New Roman" w:hAnsi="Times New Roman" w:cs="Times New Roman"/>
            <w:sz w:val="28"/>
            <w:szCs w:val="28"/>
            <w:lang w:val="uk-UA"/>
          </w:rPr>
          <w:t>http://ief.org.ua/docs/mg/312.pdf</w:t>
        </w:r>
      </w:hyperlink>
    </w:p>
    <w:p w:rsidR="002B5A91" w:rsidRPr="00F93FFB" w:rsidRDefault="005F3630"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color w:val="111111"/>
          <w:sz w:val="28"/>
          <w:szCs w:val="28"/>
          <w:shd w:val="clear" w:color="auto" w:fill="FFFFFF"/>
          <w:lang w:val="uk-UA"/>
        </w:rPr>
      </w:pPr>
      <w:r w:rsidRPr="00F93FFB">
        <w:rPr>
          <w:rFonts w:ascii="Times New Roman" w:hAnsi="Times New Roman" w:cs="Times New Roman"/>
          <w:color w:val="111111"/>
          <w:sz w:val="28"/>
          <w:szCs w:val="28"/>
          <w:shd w:val="clear" w:color="auto" w:fill="FFFFFF"/>
        </w:rPr>
        <w:t xml:space="preserve">Вергун А.М. Фінансова стабільність: глобальний, європейський та </w:t>
      </w:r>
      <w:r w:rsidRPr="00F93FFB">
        <w:rPr>
          <w:rFonts w:ascii="Times New Roman" w:hAnsi="Times New Roman" w:cs="Times New Roman"/>
          <w:color w:val="111111"/>
          <w:sz w:val="28"/>
          <w:szCs w:val="28"/>
          <w:shd w:val="clear" w:color="auto" w:fill="FFFFFF"/>
        </w:rPr>
        <w:lastRenderedPageBreak/>
        <w:t>національний контексти: навч. посіб. для студентів спец. 072 "Фінанси, банківська справа, страхування та фондовий ринок" / Київ : КНУТД, 2023. 177 с.</w:t>
      </w:r>
      <w:r w:rsidR="002F6244" w:rsidRPr="00F93FFB">
        <w:rPr>
          <w:rFonts w:ascii="Times New Roman" w:hAnsi="Times New Roman" w:cs="Times New Roman"/>
          <w:color w:val="111111"/>
          <w:sz w:val="28"/>
          <w:szCs w:val="28"/>
          <w:shd w:val="clear" w:color="auto" w:fill="FFFFFF"/>
          <w:lang w:val="uk-UA"/>
        </w:rPr>
        <w:t xml:space="preserve"> </w:t>
      </w:r>
      <w:r w:rsidR="004F556A" w:rsidRPr="00F93FFB">
        <w:rPr>
          <w:rFonts w:ascii="Times New Roman" w:hAnsi="Times New Roman" w:cs="Times New Roman"/>
          <w:sz w:val="28"/>
          <w:szCs w:val="28"/>
        </w:rPr>
        <w:t>URL:</w:t>
      </w:r>
      <w:r w:rsidR="004F556A" w:rsidRPr="00F93FFB">
        <w:rPr>
          <w:rFonts w:ascii="Times New Roman" w:hAnsi="Times New Roman" w:cs="Times New Roman"/>
          <w:sz w:val="28"/>
          <w:szCs w:val="28"/>
          <w:lang w:val="uk-UA"/>
        </w:rPr>
        <w:t xml:space="preserve"> </w:t>
      </w:r>
      <w:hyperlink r:id="rId8" w:history="1">
        <w:r w:rsidR="002F6244" w:rsidRPr="00F93FFB">
          <w:rPr>
            <w:rStyle w:val="ab"/>
            <w:rFonts w:ascii="Times New Roman" w:hAnsi="Times New Roman" w:cs="Times New Roman"/>
            <w:sz w:val="28"/>
            <w:szCs w:val="28"/>
            <w:shd w:val="clear" w:color="auto" w:fill="FFFFFF"/>
            <w:lang w:val="uk-UA"/>
          </w:rPr>
          <w:t>https://knutd.edu.ua/files/grants/osvitni/erasmus/3.8_navch-posibnyk_2023.pdf</w:t>
        </w:r>
      </w:hyperlink>
    </w:p>
    <w:p w:rsidR="00F93FFB" w:rsidRPr="00F93FFB" w:rsidRDefault="00F93FFB"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shd w:val="clear" w:color="auto" w:fill="FFFFFF"/>
          <w:lang w:val="uk-UA"/>
        </w:rPr>
      </w:pPr>
      <w:r w:rsidRPr="00F93FFB">
        <w:rPr>
          <w:rFonts w:ascii="Times New Roman" w:hAnsi="Times New Roman" w:cs="Times New Roman"/>
          <w:sz w:val="28"/>
          <w:szCs w:val="28"/>
          <w:shd w:val="clear" w:color="auto" w:fill="FFFFFF"/>
        </w:rPr>
        <w:t>Дороніна І. І. Регулювання фінансового ринку в Україні та єс. </w:t>
      </w:r>
      <w:r w:rsidRPr="00F93FFB">
        <w:rPr>
          <w:rFonts w:ascii="Times New Roman" w:hAnsi="Times New Roman" w:cs="Times New Roman"/>
          <w:i/>
          <w:iCs/>
          <w:sz w:val="28"/>
          <w:szCs w:val="28"/>
          <w:shd w:val="clear" w:color="auto" w:fill="FFFFFF"/>
        </w:rPr>
        <w:t>Інвестиції: практика та досвід</w:t>
      </w:r>
      <w:r w:rsidRPr="00F93FFB">
        <w:rPr>
          <w:rFonts w:ascii="Times New Roman" w:hAnsi="Times New Roman" w:cs="Times New Roman"/>
          <w:sz w:val="28"/>
          <w:szCs w:val="28"/>
          <w:shd w:val="clear" w:color="auto" w:fill="FFFFFF"/>
        </w:rPr>
        <w:t>. 2019. № 7. С. 70–76. </w:t>
      </w:r>
      <w:r w:rsidRPr="00F93FFB">
        <w:rPr>
          <w:rFonts w:ascii="Times New Roman" w:hAnsi="Times New Roman" w:cs="Times New Roman"/>
          <w:sz w:val="28"/>
          <w:szCs w:val="28"/>
          <w:shd w:val="clear" w:color="auto" w:fill="FFFFFF"/>
          <w:lang w:val="uk-UA"/>
        </w:rPr>
        <w:t xml:space="preserve"> </w:t>
      </w:r>
      <w:r w:rsidRPr="00F93FFB">
        <w:rPr>
          <w:rFonts w:ascii="Times New Roman" w:hAnsi="Times New Roman" w:cs="Times New Roman"/>
          <w:sz w:val="28"/>
          <w:szCs w:val="28"/>
        </w:rPr>
        <w:t xml:space="preserve">URL: </w:t>
      </w:r>
      <w:r w:rsidRPr="00F93FFB">
        <w:rPr>
          <w:rFonts w:ascii="Times New Roman" w:hAnsi="Times New Roman" w:cs="Times New Roman"/>
          <w:sz w:val="28"/>
          <w:szCs w:val="28"/>
          <w:shd w:val="clear" w:color="auto" w:fill="FFFFFF"/>
          <w:lang w:val="uk-UA"/>
        </w:rPr>
        <w:t>http://www.investplan.com.ua/pdf/7_2019/13.pdf</w:t>
      </w:r>
    </w:p>
    <w:p w:rsidR="002F6244" w:rsidRPr="00F93FFB" w:rsidRDefault="002F6244"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Fonts w:ascii="Times New Roman" w:hAnsi="Times New Roman" w:cs="Times New Roman"/>
          <w:sz w:val="28"/>
          <w:szCs w:val="28"/>
        </w:rPr>
        <w:t>Європейські стандарти захисту прав споживачів фінансових послуг : навчальний посібник / М. В. Плотнікова, Л. Д. Руденко, О. А. Швагер. Суми : Сумський державний</w:t>
      </w:r>
      <w:r w:rsidRPr="00F93FFB">
        <w:rPr>
          <w:rFonts w:ascii="Times New Roman" w:hAnsi="Times New Roman" w:cs="Times New Roman"/>
          <w:sz w:val="28"/>
          <w:szCs w:val="28"/>
          <w:lang w:val="uk-UA"/>
        </w:rPr>
        <w:t xml:space="preserve"> </w:t>
      </w:r>
      <w:r w:rsidRPr="00F93FFB">
        <w:rPr>
          <w:rFonts w:ascii="Times New Roman" w:hAnsi="Times New Roman" w:cs="Times New Roman"/>
          <w:sz w:val="28"/>
          <w:szCs w:val="28"/>
        </w:rPr>
        <w:t>університет, 2023. 332 с. URL: https://kmeep.law.sumdu.edu.ua/wp‐ content/uploads/2023/10/eufin_navchalnyj_posibnyk‐1.pdf</w:t>
      </w:r>
    </w:p>
    <w:p w:rsidR="002F6244" w:rsidRPr="00F93FFB" w:rsidRDefault="002F6244"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Fonts w:ascii="Times New Roman" w:hAnsi="Times New Roman" w:cs="Times New Roman"/>
          <w:sz w:val="28"/>
          <w:szCs w:val="28"/>
        </w:rPr>
        <w:t xml:space="preserve">Directive 2014/65/EU of the European Parliament and of the Council of 15 May 2014 on markets in financial instruments and amending Directive 2002/92/EC and Directive 2011/61/EU Text with EEA relevance. URL: </w:t>
      </w:r>
      <w:hyperlink r:id="rId9" w:history="1">
        <w:r w:rsidRPr="00F93FFB">
          <w:rPr>
            <w:rStyle w:val="ab"/>
            <w:rFonts w:ascii="Times New Roman" w:hAnsi="Times New Roman" w:cs="Times New Roman"/>
            <w:sz w:val="28"/>
            <w:szCs w:val="28"/>
          </w:rPr>
          <w:t>https://eurlex.europa.eu/legal-content/EN/TXT/?uri=celex%3A32014L0065</w:t>
        </w:r>
      </w:hyperlink>
      <w:r w:rsidRPr="00F93FFB">
        <w:rPr>
          <w:rFonts w:ascii="Times New Roman" w:hAnsi="Times New Roman" w:cs="Times New Roman"/>
          <w:sz w:val="28"/>
          <w:szCs w:val="28"/>
        </w:rPr>
        <w:t>.</w:t>
      </w:r>
    </w:p>
    <w:p w:rsidR="002F6244" w:rsidRPr="00F93FFB" w:rsidRDefault="002F6244"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Fonts w:ascii="Times New Roman" w:hAnsi="Times New Roman" w:cs="Times New Roman"/>
          <w:sz w:val="28"/>
          <w:szCs w:val="28"/>
        </w:rPr>
        <w:t xml:space="preserve">Regulation (EU) No 575/2013 of the European Parliament and of the Council of 26 June 2013 on prudential requirements for credit institutions and investment firms and amending Regulation (EU) No 648/2012. URL: </w:t>
      </w:r>
      <w:hyperlink r:id="rId10" w:history="1">
        <w:r w:rsidR="004F556A" w:rsidRPr="00F93FFB">
          <w:rPr>
            <w:rStyle w:val="ab"/>
            <w:rFonts w:ascii="Times New Roman" w:hAnsi="Times New Roman" w:cs="Times New Roman"/>
            <w:sz w:val="28"/>
            <w:szCs w:val="28"/>
          </w:rPr>
          <w:t>https://eur-lex.europa.eu/legalcontent/EN/TXT/?uri=celex%3A32013R0575</w:t>
        </w:r>
      </w:hyperlink>
      <w:r w:rsidRPr="00F93FFB">
        <w:rPr>
          <w:rFonts w:ascii="Times New Roman" w:hAnsi="Times New Roman" w:cs="Times New Roman"/>
          <w:sz w:val="28"/>
          <w:szCs w:val="28"/>
        </w:rPr>
        <w:t>.</w:t>
      </w:r>
    </w:p>
    <w:p w:rsidR="004F556A" w:rsidRPr="00F93FFB" w:rsidRDefault="004F556A"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Fonts w:ascii="Times New Roman" w:hAnsi="Times New Roman" w:cs="Times New Roman"/>
          <w:sz w:val="28"/>
          <w:szCs w:val="28"/>
        </w:rPr>
        <w:t xml:space="preserve">Directive 2009/65/EC of the European Parliament and of the Council of 13 July 2009 on the coordination of laws, regulations and administrative provisions relating to undertakings for collective investment in transferable securities (UCITS) (recast) (Text with EEA relevance). URL: </w:t>
      </w:r>
      <w:hyperlink r:id="rId11" w:history="1">
        <w:r w:rsidRPr="00F93FFB">
          <w:rPr>
            <w:rStyle w:val="ab"/>
            <w:rFonts w:ascii="Times New Roman" w:hAnsi="Times New Roman" w:cs="Times New Roman"/>
            <w:sz w:val="28"/>
            <w:szCs w:val="28"/>
          </w:rPr>
          <w:t>https://eur-lex.europa.eu/legal-content/EN/TXT/?uri=CELEX%3A32009L0065</w:t>
        </w:r>
      </w:hyperlink>
      <w:r w:rsidRPr="00F93FFB">
        <w:rPr>
          <w:rFonts w:ascii="Times New Roman" w:hAnsi="Times New Roman" w:cs="Times New Roman"/>
          <w:sz w:val="28"/>
          <w:szCs w:val="28"/>
        </w:rPr>
        <w:t>.</w:t>
      </w:r>
    </w:p>
    <w:p w:rsidR="004F556A" w:rsidRPr="00F93FFB" w:rsidRDefault="004F556A"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Style w:val="a5"/>
          <w:rFonts w:ascii="Times New Roman" w:hAnsi="Times New Roman" w:cs="Times New Roman"/>
          <w:b w:val="0"/>
          <w:sz w:val="28"/>
          <w:szCs w:val="28"/>
        </w:rPr>
        <w:t>Directive 2011/61/EU of the European Parliament and of the Council of 8 June 2011 on Alternative Investment Fund Managers and amending Directives 2003/41/EC and 2009/65/EC and Regulations (EC) No 1060/2009 and (EU) No 1095/2010</w:t>
      </w:r>
      <w:r w:rsidRPr="00F93FFB">
        <w:rPr>
          <w:rStyle w:val="a5"/>
          <w:rFonts w:ascii="Times New Roman" w:hAnsi="Times New Roman" w:cs="Times New Roman"/>
          <w:b w:val="0"/>
          <w:sz w:val="28"/>
          <w:szCs w:val="28"/>
          <w:lang w:val="uk-UA"/>
        </w:rPr>
        <w:t xml:space="preserve">. </w:t>
      </w:r>
      <w:r w:rsidRPr="00F93FFB">
        <w:rPr>
          <w:rFonts w:ascii="Times New Roman" w:hAnsi="Times New Roman" w:cs="Times New Roman"/>
          <w:sz w:val="28"/>
          <w:szCs w:val="28"/>
        </w:rPr>
        <w:t xml:space="preserve">URL: </w:t>
      </w:r>
      <w:hyperlink r:id="rId12" w:tgtFrame="_new" w:history="1">
        <w:r w:rsidRPr="00F93FFB">
          <w:rPr>
            <w:rStyle w:val="ab"/>
            <w:rFonts w:ascii="Times New Roman" w:hAnsi="Times New Roman" w:cs="Times New Roman"/>
            <w:sz w:val="28"/>
            <w:szCs w:val="28"/>
          </w:rPr>
          <w:t>https://eur-lex.europa.eu/legal-content/EN/TXT/?uri=CELEX%3A32011L0061</w:t>
        </w:r>
      </w:hyperlink>
    </w:p>
    <w:p w:rsidR="004F556A" w:rsidRPr="00F93FFB" w:rsidRDefault="004F556A"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Style w:val="a5"/>
          <w:rFonts w:ascii="Times New Roman" w:hAnsi="Times New Roman" w:cs="Times New Roman"/>
          <w:b w:val="0"/>
          <w:sz w:val="28"/>
          <w:szCs w:val="28"/>
        </w:rPr>
        <w:t>Regulation (EU) 2015/2365 of the European Parliament and of the Council of 25 November 2015 on transparency of securities financing transactions and of reuse and amending Regulation (EU) No 648/2012</w:t>
      </w:r>
      <w:r w:rsidRPr="00F93FFB">
        <w:rPr>
          <w:rStyle w:val="a5"/>
          <w:rFonts w:ascii="Times New Roman" w:hAnsi="Times New Roman" w:cs="Times New Roman"/>
          <w:b w:val="0"/>
          <w:sz w:val="28"/>
          <w:szCs w:val="28"/>
          <w:lang w:val="uk-UA"/>
        </w:rPr>
        <w:t xml:space="preserve">. </w:t>
      </w:r>
      <w:r w:rsidRPr="00F93FFB">
        <w:rPr>
          <w:rFonts w:ascii="Times New Roman" w:hAnsi="Times New Roman" w:cs="Times New Roman"/>
          <w:sz w:val="28"/>
          <w:szCs w:val="28"/>
        </w:rPr>
        <w:t xml:space="preserve">URL: </w:t>
      </w:r>
      <w:hyperlink r:id="rId13" w:tgtFrame="_new" w:history="1">
        <w:r w:rsidRPr="00F93FFB">
          <w:rPr>
            <w:rStyle w:val="ab"/>
            <w:rFonts w:ascii="Times New Roman" w:hAnsi="Times New Roman" w:cs="Times New Roman"/>
            <w:sz w:val="28"/>
            <w:szCs w:val="28"/>
          </w:rPr>
          <w:t>https://eur-lex.europa.eu/legal-content/EN/TXT/?uri=CELEX%3A32015R2365</w:t>
        </w:r>
      </w:hyperlink>
    </w:p>
    <w:p w:rsidR="004F556A" w:rsidRPr="00F93FFB" w:rsidRDefault="004F556A"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Style w:val="a5"/>
          <w:rFonts w:ascii="Times New Roman" w:hAnsi="Times New Roman" w:cs="Times New Roman"/>
          <w:b w:val="0"/>
          <w:sz w:val="28"/>
          <w:szCs w:val="28"/>
        </w:rPr>
        <w:t>European Banking Union</w:t>
      </w:r>
      <w:r w:rsidRPr="00F93FFB">
        <w:rPr>
          <w:rStyle w:val="a5"/>
          <w:rFonts w:ascii="Times New Roman" w:hAnsi="Times New Roman" w:cs="Times New Roman"/>
          <w:b w:val="0"/>
          <w:sz w:val="28"/>
          <w:szCs w:val="28"/>
          <w:lang w:val="uk-UA"/>
        </w:rPr>
        <w:t xml:space="preserve">. </w:t>
      </w:r>
      <w:r w:rsidRPr="00F93FFB">
        <w:rPr>
          <w:rFonts w:ascii="Times New Roman" w:hAnsi="Times New Roman" w:cs="Times New Roman"/>
          <w:sz w:val="28"/>
          <w:szCs w:val="28"/>
        </w:rPr>
        <w:t xml:space="preserve">URL: </w:t>
      </w:r>
      <w:hyperlink r:id="rId14" w:tgtFrame="_new" w:history="1">
        <w:r w:rsidRPr="00F93FFB">
          <w:rPr>
            <w:rStyle w:val="ab"/>
            <w:rFonts w:ascii="Times New Roman" w:hAnsi="Times New Roman" w:cs="Times New Roman"/>
            <w:sz w:val="28"/>
            <w:szCs w:val="28"/>
          </w:rPr>
          <w:t>https://ec.europa.eu/info/business-economy-euro/banking-and-finance/banking-union_en</w:t>
        </w:r>
      </w:hyperlink>
    </w:p>
    <w:p w:rsidR="004F556A" w:rsidRPr="00F93FFB" w:rsidRDefault="004F556A" w:rsidP="00F93FFB">
      <w:pPr>
        <w:pStyle w:val="a3"/>
        <w:widowControl w:val="0"/>
        <w:numPr>
          <w:ilvl w:val="0"/>
          <w:numId w:val="34"/>
        </w:numPr>
        <w:tabs>
          <w:tab w:val="left" w:pos="1276"/>
        </w:tabs>
        <w:spacing w:after="0" w:line="288" w:lineRule="auto"/>
        <w:ind w:left="0" w:firstLine="709"/>
        <w:jc w:val="both"/>
        <w:rPr>
          <w:rFonts w:ascii="Times New Roman" w:hAnsi="Times New Roman" w:cs="Times New Roman"/>
          <w:sz w:val="28"/>
          <w:szCs w:val="28"/>
          <w:lang w:val="uk-UA"/>
        </w:rPr>
      </w:pPr>
      <w:r w:rsidRPr="00F93FFB">
        <w:rPr>
          <w:rStyle w:val="a5"/>
          <w:rFonts w:ascii="Times New Roman" w:hAnsi="Times New Roman" w:cs="Times New Roman"/>
          <w:b w:val="0"/>
          <w:sz w:val="28"/>
          <w:szCs w:val="28"/>
        </w:rPr>
        <w:t>Basel Committee on Banking Supervision. Basel III: international regulatory framework for banks.</w:t>
      </w:r>
      <w:r w:rsidRPr="00F93FFB">
        <w:rPr>
          <w:rFonts w:ascii="Times New Roman" w:hAnsi="Times New Roman" w:cs="Times New Roman"/>
          <w:sz w:val="28"/>
          <w:szCs w:val="28"/>
        </w:rPr>
        <w:t xml:space="preserve"> URL: </w:t>
      </w:r>
      <w:hyperlink r:id="rId15" w:history="1">
        <w:r w:rsidR="00F93FFB" w:rsidRPr="00F93FFB">
          <w:rPr>
            <w:rStyle w:val="ab"/>
            <w:rFonts w:ascii="Times New Roman" w:hAnsi="Times New Roman" w:cs="Times New Roman"/>
            <w:sz w:val="28"/>
            <w:szCs w:val="28"/>
          </w:rPr>
          <w:t>https://www.bis.org/bcbs/basel3.htm</w:t>
        </w:r>
      </w:hyperlink>
      <w:r w:rsidRPr="00F93FFB">
        <w:rPr>
          <w:rFonts w:ascii="Times New Roman" w:hAnsi="Times New Roman" w:cs="Times New Roman"/>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lastRenderedPageBreak/>
        <w:t>Regulation (EU) No 648/2012 of the European Parliament and of the Council of 4 July 2012 on OTC derivatives, central counterparties and trade repositories (EMIR)</w:t>
      </w:r>
      <w:r w:rsidRPr="00F93FFB">
        <w:rPr>
          <w:sz w:val="28"/>
          <w:szCs w:val="28"/>
        </w:rPr>
        <w:t xml:space="preserve">. URL: </w:t>
      </w:r>
      <w:hyperlink r:id="rId16" w:tgtFrame="_new" w:history="1">
        <w:r w:rsidRPr="00F93FFB">
          <w:rPr>
            <w:rStyle w:val="ab"/>
            <w:sz w:val="28"/>
            <w:szCs w:val="28"/>
          </w:rPr>
          <w:t>https://eur-lex.europa.eu/legal-content/EN/TXT/?uri=CELEX%3A32012R0648</w:t>
        </w:r>
      </w:hyperlink>
      <w:r w:rsidRPr="00F93FFB">
        <w:rPr>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t>Regulation (EU) No 909/2014 of the European Parliament and of the Council of 23 July 2014 on improving securities settlement in the European Union and on central securities depositories (CSDR)</w:t>
      </w:r>
      <w:r w:rsidRPr="00F93FFB">
        <w:rPr>
          <w:sz w:val="28"/>
          <w:szCs w:val="28"/>
        </w:rPr>
        <w:t xml:space="preserve">. URL: </w:t>
      </w:r>
      <w:hyperlink r:id="rId17" w:tgtFrame="_new" w:history="1">
        <w:r w:rsidRPr="00F93FFB">
          <w:rPr>
            <w:rStyle w:val="ab"/>
            <w:sz w:val="28"/>
            <w:szCs w:val="28"/>
          </w:rPr>
          <w:t>https://eur-lex.europa.eu/legal-content/EN/TXT/?uri=CELEX%3A32014R0909</w:t>
        </w:r>
      </w:hyperlink>
      <w:r w:rsidRPr="00F93FFB">
        <w:rPr>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t>Directive (EU) 2018/843 of the European Parliament and of the Council of 30 May 2018 amending Directive (EU) 2015/849 on the prevention of the use of the financial system for the purposes of money laundering or terrorist financing (AMLD V)</w:t>
      </w:r>
      <w:r w:rsidRPr="00F93FFB">
        <w:rPr>
          <w:sz w:val="28"/>
          <w:szCs w:val="28"/>
        </w:rPr>
        <w:t xml:space="preserve">. URL: </w:t>
      </w:r>
      <w:hyperlink r:id="rId18" w:tgtFrame="_new" w:history="1">
        <w:r w:rsidRPr="00F93FFB">
          <w:rPr>
            <w:rStyle w:val="ab"/>
            <w:sz w:val="28"/>
            <w:szCs w:val="28"/>
          </w:rPr>
          <w:t>https://eur-lex.europa.eu/legal-content/EN/TXT/?uri=CELEX%3A32018L0843</w:t>
        </w:r>
      </w:hyperlink>
      <w:r w:rsidRPr="00F93FFB">
        <w:rPr>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t>European Banking Authority (EBA)</w:t>
      </w:r>
      <w:r w:rsidRPr="00F93FFB">
        <w:rPr>
          <w:sz w:val="28"/>
          <w:szCs w:val="28"/>
        </w:rPr>
        <w:t xml:space="preserve">. Офіційна сторінка: URL: </w:t>
      </w:r>
      <w:hyperlink r:id="rId19" w:tgtFrame="_new" w:history="1">
        <w:r w:rsidRPr="00F93FFB">
          <w:rPr>
            <w:rStyle w:val="ab"/>
            <w:sz w:val="28"/>
            <w:szCs w:val="28"/>
          </w:rPr>
          <w:t>https://www.eba.europa.eu/</w:t>
        </w:r>
      </w:hyperlink>
      <w:r w:rsidRPr="00F93FFB">
        <w:rPr>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t>European Securities and Markets Authority (ESMA)</w:t>
      </w:r>
      <w:r w:rsidRPr="00F93FFB">
        <w:rPr>
          <w:sz w:val="28"/>
          <w:szCs w:val="28"/>
        </w:rPr>
        <w:t xml:space="preserve">. Офіційна сторінка: URL: </w:t>
      </w:r>
      <w:hyperlink r:id="rId20" w:tgtFrame="_new" w:history="1">
        <w:r w:rsidRPr="00F93FFB">
          <w:rPr>
            <w:rStyle w:val="ab"/>
            <w:sz w:val="28"/>
            <w:szCs w:val="28"/>
          </w:rPr>
          <w:t>https://www.esma.europa.eu/</w:t>
        </w:r>
      </w:hyperlink>
      <w:r w:rsidRPr="00F93FFB">
        <w:rPr>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t>European Insurance and Occupational Pensions Authority (EIOPA)</w:t>
      </w:r>
      <w:r w:rsidRPr="00F93FFB">
        <w:rPr>
          <w:sz w:val="28"/>
          <w:szCs w:val="28"/>
        </w:rPr>
        <w:t xml:space="preserve">. Офіційна сторінка: URL: </w:t>
      </w:r>
      <w:hyperlink r:id="rId21" w:tgtFrame="_new" w:history="1">
        <w:r w:rsidRPr="00F93FFB">
          <w:rPr>
            <w:rStyle w:val="ab"/>
            <w:sz w:val="28"/>
            <w:szCs w:val="28"/>
          </w:rPr>
          <w:t>https://www.eiopa.europa.eu/</w:t>
        </w:r>
      </w:hyperlink>
      <w:r w:rsidRPr="00F93FFB">
        <w:rPr>
          <w:sz w:val="28"/>
          <w:szCs w:val="28"/>
        </w:rPr>
        <w:t>.</w:t>
      </w:r>
    </w:p>
    <w:p w:rsidR="00F93FFB" w:rsidRPr="00F93FFB" w:rsidRDefault="00F93FFB" w:rsidP="00F93FFB">
      <w:pPr>
        <w:pStyle w:val="a4"/>
        <w:numPr>
          <w:ilvl w:val="0"/>
          <w:numId w:val="34"/>
        </w:numPr>
        <w:tabs>
          <w:tab w:val="left" w:pos="1276"/>
        </w:tabs>
        <w:spacing w:before="0" w:beforeAutospacing="0" w:after="0" w:afterAutospacing="0" w:line="288" w:lineRule="auto"/>
        <w:ind w:left="0" w:firstLine="709"/>
        <w:jc w:val="both"/>
        <w:rPr>
          <w:sz w:val="28"/>
          <w:szCs w:val="28"/>
        </w:rPr>
      </w:pPr>
      <w:r w:rsidRPr="00F93FFB">
        <w:rPr>
          <w:rStyle w:val="a5"/>
          <w:b w:val="0"/>
          <w:sz w:val="28"/>
          <w:szCs w:val="28"/>
        </w:rPr>
        <w:t>European Deposit Insurance Scheme (EDIS)</w:t>
      </w:r>
      <w:r w:rsidRPr="00F93FFB">
        <w:rPr>
          <w:sz w:val="28"/>
          <w:szCs w:val="28"/>
        </w:rPr>
        <w:t xml:space="preserve">. URL: </w:t>
      </w:r>
      <w:hyperlink r:id="rId22" w:tgtFrame="_new" w:history="1">
        <w:r w:rsidRPr="00F93FFB">
          <w:rPr>
            <w:rStyle w:val="ab"/>
            <w:sz w:val="28"/>
            <w:szCs w:val="28"/>
          </w:rPr>
          <w:t>https://ec.europa.eu/info/business-economy-euro/banking-and-finance/banking-union/european-deposit-insurance-scheme_en</w:t>
        </w:r>
      </w:hyperlink>
      <w:r w:rsidRPr="00F93FFB">
        <w:rPr>
          <w:sz w:val="28"/>
          <w:szCs w:val="28"/>
        </w:rPr>
        <w:t>.</w:t>
      </w:r>
    </w:p>
    <w:p w:rsidR="00F93FFB" w:rsidRPr="00F93FFB" w:rsidRDefault="00F93FFB" w:rsidP="00F93FFB">
      <w:pPr>
        <w:widowControl w:val="0"/>
        <w:tabs>
          <w:tab w:val="left" w:pos="1276"/>
        </w:tabs>
        <w:spacing w:after="0" w:line="288" w:lineRule="auto"/>
        <w:ind w:firstLine="709"/>
        <w:jc w:val="both"/>
        <w:rPr>
          <w:rFonts w:ascii="Times New Roman" w:hAnsi="Times New Roman" w:cs="Times New Roman"/>
          <w:sz w:val="28"/>
          <w:szCs w:val="28"/>
          <w:lang w:val="uk-UA"/>
        </w:rPr>
      </w:pPr>
    </w:p>
    <w:sectPr w:rsidR="00F93FFB" w:rsidRPr="00F93FFB" w:rsidSect="00B07E00">
      <w:footerReference w:type="default" r:id="rId23"/>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420" w:rsidRDefault="00B47420" w:rsidP="00B07E00">
      <w:pPr>
        <w:spacing w:after="0" w:line="240" w:lineRule="auto"/>
      </w:pPr>
      <w:r>
        <w:separator/>
      </w:r>
    </w:p>
  </w:endnote>
  <w:endnote w:type="continuationSeparator" w:id="1">
    <w:p w:rsidR="00B47420" w:rsidRDefault="00B47420" w:rsidP="00B07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2173"/>
      <w:docPartObj>
        <w:docPartGallery w:val="Page Numbers (Bottom of Page)"/>
        <w:docPartUnique/>
      </w:docPartObj>
    </w:sdtPr>
    <w:sdtEndPr>
      <w:rPr>
        <w:rFonts w:ascii="Times New Roman" w:hAnsi="Times New Roman" w:cs="Times New Roman"/>
        <w:sz w:val="24"/>
        <w:szCs w:val="24"/>
      </w:rPr>
    </w:sdtEndPr>
    <w:sdtContent>
      <w:p w:rsidR="00B07E00" w:rsidRPr="00B07E00" w:rsidRDefault="00F4451C">
        <w:pPr>
          <w:pStyle w:val="a8"/>
          <w:jc w:val="right"/>
          <w:rPr>
            <w:rFonts w:ascii="Times New Roman" w:hAnsi="Times New Roman" w:cs="Times New Roman"/>
            <w:sz w:val="24"/>
            <w:szCs w:val="24"/>
          </w:rPr>
        </w:pPr>
        <w:r w:rsidRPr="00B07E00">
          <w:rPr>
            <w:rFonts w:ascii="Times New Roman" w:hAnsi="Times New Roman" w:cs="Times New Roman"/>
            <w:sz w:val="24"/>
            <w:szCs w:val="24"/>
          </w:rPr>
          <w:fldChar w:fldCharType="begin"/>
        </w:r>
        <w:r w:rsidR="00B07E00" w:rsidRPr="00B07E00">
          <w:rPr>
            <w:rFonts w:ascii="Times New Roman" w:hAnsi="Times New Roman" w:cs="Times New Roman"/>
            <w:sz w:val="24"/>
            <w:szCs w:val="24"/>
          </w:rPr>
          <w:instrText xml:space="preserve"> PAGE   \* MERGEFORMAT </w:instrText>
        </w:r>
        <w:r w:rsidRPr="00B07E00">
          <w:rPr>
            <w:rFonts w:ascii="Times New Roman" w:hAnsi="Times New Roman" w:cs="Times New Roman"/>
            <w:sz w:val="24"/>
            <w:szCs w:val="24"/>
          </w:rPr>
          <w:fldChar w:fldCharType="separate"/>
        </w:r>
        <w:r w:rsidR="00A6165D">
          <w:rPr>
            <w:rFonts w:ascii="Times New Roman" w:hAnsi="Times New Roman" w:cs="Times New Roman"/>
            <w:noProof/>
            <w:sz w:val="24"/>
            <w:szCs w:val="24"/>
          </w:rPr>
          <w:t>12</w:t>
        </w:r>
        <w:r w:rsidRPr="00B07E00">
          <w:rPr>
            <w:rFonts w:ascii="Times New Roman" w:hAnsi="Times New Roman" w:cs="Times New Roman"/>
            <w:sz w:val="24"/>
            <w:szCs w:val="24"/>
          </w:rPr>
          <w:fldChar w:fldCharType="end"/>
        </w:r>
      </w:p>
    </w:sdtContent>
  </w:sdt>
  <w:p w:rsidR="00B07E00" w:rsidRDefault="00B07E0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420" w:rsidRDefault="00B47420" w:rsidP="00B07E00">
      <w:pPr>
        <w:spacing w:after="0" w:line="240" w:lineRule="auto"/>
      </w:pPr>
      <w:r>
        <w:separator/>
      </w:r>
    </w:p>
  </w:footnote>
  <w:footnote w:type="continuationSeparator" w:id="1">
    <w:p w:rsidR="00B47420" w:rsidRDefault="00B47420" w:rsidP="00B07E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23BB"/>
    <w:multiLevelType w:val="multilevel"/>
    <w:tmpl w:val="10165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211B1"/>
    <w:multiLevelType w:val="hybridMultilevel"/>
    <w:tmpl w:val="B9AEBF96"/>
    <w:lvl w:ilvl="0" w:tplc="7EF62DF8">
      <w:start w:val="1"/>
      <w:numFmt w:val="bullet"/>
      <w:lvlText w:val=""/>
      <w:lvlJc w:val="left"/>
      <w:pPr>
        <w:ind w:left="720" w:hanging="360"/>
      </w:pPr>
      <w:rPr>
        <w:rFonts w:ascii="Symbol" w:hAnsi="Symbol" w:hint="default"/>
      </w:rPr>
    </w:lvl>
    <w:lvl w:ilvl="1" w:tplc="7EF62DF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52EBE"/>
    <w:multiLevelType w:val="hybridMultilevel"/>
    <w:tmpl w:val="17186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C134B"/>
    <w:multiLevelType w:val="multilevel"/>
    <w:tmpl w:val="CCE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72C68"/>
    <w:multiLevelType w:val="multilevel"/>
    <w:tmpl w:val="831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F051E"/>
    <w:multiLevelType w:val="hybridMultilevel"/>
    <w:tmpl w:val="0428E296"/>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F31062"/>
    <w:multiLevelType w:val="multilevel"/>
    <w:tmpl w:val="841A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3D1D18"/>
    <w:multiLevelType w:val="multilevel"/>
    <w:tmpl w:val="97D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8D29A1"/>
    <w:multiLevelType w:val="multilevel"/>
    <w:tmpl w:val="A0C8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DA73B0"/>
    <w:multiLevelType w:val="hybridMultilevel"/>
    <w:tmpl w:val="02B6741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275A1D"/>
    <w:multiLevelType w:val="hybridMultilevel"/>
    <w:tmpl w:val="CDB2BD42"/>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916E1E"/>
    <w:multiLevelType w:val="hybridMultilevel"/>
    <w:tmpl w:val="A18CF730"/>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457336"/>
    <w:multiLevelType w:val="multilevel"/>
    <w:tmpl w:val="6D6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100AA"/>
    <w:multiLevelType w:val="multilevel"/>
    <w:tmpl w:val="383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045F0F"/>
    <w:multiLevelType w:val="hybridMultilevel"/>
    <w:tmpl w:val="FB7EA7EC"/>
    <w:lvl w:ilvl="0" w:tplc="2DA6B9C2">
      <w:start w:val="1"/>
      <w:numFmt w:val="decimal"/>
      <w:lvlText w:val="%1."/>
      <w:lvlJc w:val="left"/>
      <w:pPr>
        <w:ind w:left="1429"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5F6F32"/>
    <w:multiLevelType w:val="multilevel"/>
    <w:tmpl w:val="1C6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E07A8A"/>
    <w:multiLevelType w:val="hybridMultilevel"/>
    <w:tmpl w:val="B6D6CF6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90C6FA0"/>
    <w:multiLevelType w:val="hybridMultilevel"/>
    <w:tmpl w:val="13CCDEFC"/>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0167FEF"/>
    <w:multiLevelType w:val="multilevel"/>
    <w:tmpl w:val="7FFA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4D6533"/>
    <w:multiLevelType w:val="hybridMultilevel"/>
    <w:tmpl w:val="2B082E0A"/>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0E5F42"/>
    <w:multiLevelType w:val="hybridMultilevel"/>
    <w:tmpl w:val="74426A98"/>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2126BD"/>
    <w:multiLevelType w:val="hybridMultilevel"/>
    <w:tmpl w:val="C1186A4C"/>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21537F3"/>
    <w:multiLevelType w:val="hybridMultilevel"/>
    <w:tmpl w:val="6A743AB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121006"/>
    <w:multiLevelType w:val="multilevel"/>
    <w:tmpl w:val="D8B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EA5D22"/>
    <w:multiLevelType w:val="multilevel"/>
    <w:tmpl w:val="6AA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69337D"/>
    <w:multiLevelType w:val="hybridMultilevel"/>
    <w:tmpl w:val="DCB24164"/>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FF5446"/>
    <w:multiLevelType w:val="multilevel"/>
    <w:tmpl w:val="AC3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DA195C"/>
    <w:multiLevelType w:val="multilevel"/>
    <w:tmpl w:val="0306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B004B1"/>
    <w:multiLevelType w:val="multilevel"/>
    <w:tmpl w:val="73B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026985"/>
    <w:multiLevelType w:val="hybridMultilevel"/>
    <w:tmpl w:val="C69039D0"/>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259166B"/>
    <w:multiLevelType w:val="hybridMultilevel"/>
    <w:tmpl w:val="BE566482"/>
    <w:lvl w:ilvl="0" w:tplc="2DA6B9C2">
      <w:start w:val="1"/>
      <w:numFmt w:val="decimal"/>
      <w:lvlText w:val="%1."/>
      <w:lvlJc w:val="left"/>
      <w:pPr>
        <w:ind w:left="72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471738"/>
    <w:multiLevelType w:val="hybridMultilevel"/>
    <w:tmpl w:val="02A6F42E"/>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C162B98"/>
    <w:multiLevelType w:val="multilevel"/>
    <w:tmpl w:val="68D0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E8351F"/>
    <w:multiLevelType w:val="multilevel"/>
    <w:tmpl w:val="4C48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3"/>
  </w:num>
  <w:num w:numId="4">
    <w:abstractNumId w:val="33"/>
  </w:num>
  <w:num w:numId="5">
    <w:abstractNumId w:val="24"/>
  </w:num>
  <w:num w:numId="6">
    <w:abstractNumId w:val="7"/>
  </w:num>
  <w:num w:numId="7">
    <w:abstractNumId w:val="27"/>
  </w:num>
  <w:num w:numId="8">
    <w:abstractNumId w:val="0"/>
  </w:num>
  <w:num w:numId="9">
    <w:abstractNumId w:val="26"/>
  </w:num>
  <w:num w:numId="10">
    <w:abstractNumId w:val="31"/>
  </w:num>
  <w:num w:numId="11">
    <w:abstractNumId w:val="8"/>
  </w:num>
  <w:num w:numId="12">
    <w:abstractNumId w:val="6"/>
  </w:num>
  <w:num w:numId="13">
    <w:abstractNumId w:val="32"/>
  </w:num>
  <w:num w:numId="14">
    <w:abstractNumId w:val="12"/>
  </w:num>
  <w:num w:numId="15">
    <w:abstractNumId w:val="28"/>
  </w:num>
  <w:num w:numId="16">
    <w:abstractNumId w:val="13"/>
  </w:num>
  <w:num w:numId="17">
    <w:abstractNumId w:val="22"/>
  </w:num>
  <w:num w:numId="18">
    <w:abstractNumId w:val="25"/>
  </w:num>
  <w:num w:numId="19">
    <w:abstractNumId w:val="17"/>
  </w:num>
  <w:num w:numId="20">
    <w:abstractNumId w:val="21"/>
  </w:num>
  <w:num w:numId="21">
    <w:abstractNumId w:val="19"/>
  </w:num>
  <w:num w:numId="22">
    <w:abstractNumId w:val="5"/>
  </w:num>
  <w:num w:numId="23">
    <w:abstractNumId w:val="16"/>
  </w:num>
  <w:num w:numId="24">
    <w:abstractNumId w:val="1"/>
  </w:num>
  <w:num w:numId="25">
    <w:abstractNumId w:val="18"/>
  </w:num>
  <w:num w:numId="26">
    <w:abstractNumId w:val="4"/>
  </w:num>
  <w:num w:numId="27">
    <w:abstractNumId w:val="23"/>
  </w:num>
  <w:num w:numId="28">
    <w:abstractNumId w:val="15"/>
  </w:num>
  <w:num w:numId="29">
    <w:abstractNumId w:val="29"/>
  </w:num>
  <w:num w:numId="30">
    <w:abstractNumId w:val="20"/>
  </w:num>
  <w:num w:numId="31">
    <w:abstractNumId w:val="11"/>
  </w:num>
  <w:num w:numId="32">
    <w:abstractNumId w:val="9"/>
  </w:num>
  <w:num w:numId="33">
    <w:abstractNumId w:val="1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useFELayout/>
  </w:compat>
  <w:rsids>
    <w:rsidRoot w:val="006A5249"/>
    <w:rsid w:val="00213E16"/>
    <w:rsid w:val="002B4A26"/>
    <w:rsid w:val="002B5A91"/>
    <w:rsid w:val="002F6244"/>
    <w:rsid w:val="003B2372"/>
    <w:rsid w:val="004F556A"/>
    <w:rsid w:val="0059681C"/>
    <w:rsid w:val="005F3630"/>
    <w:rsid w:val="006A5249"/>
    <w:rsid w:val="006A6960"/>
    <w:rsid w:val="007126FB"/>
    <w:rsid w:val="00836838"/>
    <w:rsid w:val="00A0526F"/>
    <w:rsid w:val="00A06437"/>
    <w:rsid w:val="00A35E8F"/>
    <w:rsid w:val="00A6165D"/>
    <w:rsid w:val="00AA4C36"/>
    <w:rsid w:val="00B07E00"/>
    <w:rsid w:val="00B47420"/>
    <w:rsid w:val="00DF2008"/>
    <w:rsid w:val="00EC5C69"/>
    <w:rsid w:val="00F4451C"/>
    <w:rsid w:val="00F93FFB"/>
    <w:rsid w:val="00FB653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E8F"/>
  </w:style>
  <w:style w:type="paragraph" w:styleId="3">
    <w:name w:val="heading 3"/>
    <w:basedOn w:val="a"/>
    <w:link w:val="30"/>
    <w:uiPriority w:val="9"/>
    <w:qFormat/>
    <w:rsid w:val="003B23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249"/>
    <w:pPr>
      <w:ind w:left="720"/>
      <w:contextualSpacing/>
    </w:pPr>
  </w:style>
  <w:style w:type="paragraph" w:styleId="a4">
    <w:name w:val="Normal (Web)"/>
    <w:basedOn w:val="a"/>
    <w:uiPriority w:val="99"/>
    <w:semiHidden/>
    <w:unhideWhenUsed/>
    <w:rsid w:val="006A524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A5249"/>
    <w:rPr>
      <w:b/>
      <w:bCs/>
    </w:rPr>
  </w:style>
  <w:style w:type="paragraph" w:styleId="a6">
    <w:name w:val="header"/>
    <w:basedOn w:val="a"/>
    <w:link w:val="a7"/>
    <w:uiPriority w:val="99"/>
    <w:semiHidden/>
    <w:unhideWhenUsed/>
    <w:rsid w:val="00B07E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07E00"/>
  </w:style>
  <w:style w:type="paragraph" w:styleId="a8">
    <w:name w:val="footer"/>
    <w:basedOn w:val="a"/>
    <w:link w:val="a9"/>
    <w:uiPriority w:val="99"/>
    <w:unhideWhenUsed/>
    <w:rsid w:val="00B07E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7E00"/>
  </w:style>
  <w:style w:type="character" w:customStyle="1" w:styleId="30">
    <w:name w:val="Заголовок 3 Знак"/>
    <w:basedOn w:val="a0"/>
    <w:link w:val="3"/>
    <w:uiPriority w:val="9"/>
    <w:rsid w:val="003B2372"/>
    <w:rPr>
      <w:rFonts w:ascii="Times New Roman" w:eastAsia="Times New Roman" w:hAnsi="Times New Roman" w:cs="Times New Roman"/>
      <w:b/>
      <w:bCs/>
      <w:sz w:val="27"/>
      <w:szCs w:val="27"/>
    </w:rPr>
  </w:style>
  <w:style w:type="table" w:styleId="aa">
    <w:name w:val="Table Grid"/>
    <w:basedOn w:val="a1"/>
    <w:uiPriority w:val="59"/>
    <w:rsid w:val="005968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flow-hidden">
    <w:name w:val="overflow-hidden"/>
    <w:basedOn w:val="a0"/>
    <w:rsid w:val="00AA4C36"/>
  </w:style>
  <w:style w:type="character" w:styleId="ab">
    <w:name w:val="Hyperlink"/>
    <w:basedOn w:val="a0"/>
    <w:uiPriority w:val="99"/>
    <w:unhideWhenUsed/>
    <w:rsid w:val="005F363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937951">
      <w:bodyDiv w:val="1"/>
      <w:marLeft w:val="0"/>
      <w:marRight w:val="0"/>
      <w:marTop w:val="0"/>
      <w:marBottom w:val="0"/>
      <w:divBdr>
        <w:top w:val="none" w:sz="0" w:space="0" w:color="auto"/>
        <w:left w:val="none" w:sz="0" w:space="0" w:color="auto"/>
        <w:bottom w:val="none" w:sz="0" w:space="0" w:color="auto"/>
        <w:right w:val="none" w:sz="0" w:space="0" w:color="auto"/>
      </w:divBdr>
    </w:div>
    <w:div w:id="186255484">
      <w:bodyDiv w:val="1"/>
      <w:marLeft w:val="0"/>
      <w:marRight w:val="0"/>
      <w:marTop w:val="0"/>
      <w:marBottom w:val="0"/>
      <w:divBdr>
        <w:top w:val="none" w:sz="0" w:space="0" w:color="auto"/>
        <w:left w:val="none" w:sz="0" w:space="0" w:color="auto"/>
        <w:bottom w:val="none" w:sz="0" w:space="0" w:color="auto"/>
        <w:right w:val="none" w:sz="0" w:space="0" w:color="auto"/>
      </w:divBdr>
    </w:div>
    <w:div w:id="250050804">
      <w:bodyDiv w:val="1"/>
      <w:marLeft w:val="0"/>
      <w:marRight w:val="0"/>
      <w:marTop w:val="0"/>
      <w:marBottom w:val="0"/>
      <w:divBdr>
        <w:top w:val="none" w:sz="0" w:space="0" w:color="auto"/>
        <w:left w:val="none" w:sz="0" w:space="0" w:color="auto"/>
        <w:bottom w:val="none" w:sz="0" w:space="0" w:color="auto"/>
        <w:right w:val="none" w:sz="0" w:space="0" w:color="auto"/>
      </w:divBdr>
    </w:div>
    <w:div w:id="355467999">
      <w:bodyDiv w:val="1"/>
      <w:marLeft w:val="0"/>
      <w:marRight w:val="0"/>
      <w:marTop w:val="0"/>
      <w:marBottom w:val="0"/>
      <w:divBdr>
        <w:top w:val="none" w:sz="0" w:space="0" w:color="auto"/>
        <w:left w:val="none" w:sz="0" w:space="0" w:color="auto"/>
        <w:bottom w:val="none" w:sz="0" w:space="0" w:color="auto"/>
        <w:right w:val="none" w:sz="0" w:space="0" w:color="auto"/>
      </w:divBdr>
    </w:div>
    <w:div w:id="699822834">
      <w:bodyDiv w:val="1"/>
      <w:marLeft w:val="0"/>
      <w:marRight w:val="0"/>
      <w:marTop w:val="0"/>
      <w:marBottom w:val="0"/>
      <w:divBdr>
        <w:top w:val="none" w:sz="0" w:space="0" w:color="auto"/>
        <w:left w:val="none" w:sz="0" w:space="0" w:color="auto"/>
        <w:bottom w:val="none" w:sz="0" w:space="0" w:color="auto"/>
        <w:right w:val="none" w:sz="0" w:space="0" w:color="auto"/>
      </w:divBdr>
    </w:div>
    <w:div w:id="803230494">
      <w:bodyDiv w:val="1"/>
      <w:marLeft w:val="0"/>
      <w:marRight w:val="0"/>
      <w:marTop w:val="0"/>
      <w:marBottom w:val="0"/>
      <w:divBdr>
        <w:top w:val="none" w:sz="0" w:space="0" w:color="auto"/>
        <w:left w:val="none" w:sz="0" w:space="0" w:color="auto"/>
        <w:bottom w:val="none" w:sz="0" w:space="0" w:color="auto"/>
        <w:right w:val="none" w:sz="0" w:space="0" w:color="auto"/>
      </w:divBdr>
    </w:div>
    <w:div w:id="1242644897">
      <w:bodyDiv w:val="1"/>
      <w:marLeft w:val="0"/>
      <w:marRight w:val="0"/>
      <w:marTop w:val="0"/>
      <w:marBottom w:val="0"/>
      <w:divBdr>
        <w:top w:val="none" w:sz="0" w:space="0" w:color="auto"/>
        <w:left w:val="none" w:sz="0" w:space="0" w:color="auto"/>
        <w:bottom w:val="none" w:sz="0" w:space="0" w:color="auto"/>
        <w:right w:val="none" w:sz="0" w:space="0" w:color="auto"/>
      </w:divBdr>
      <w:divsChild>
        <w:div w:id="1431465503">
          <w:marLeft w:val="0"/>
          <w:marRight w:val="0"/>
          <w:marTop w:val="0"/>
          <w:marBottom w:val="0"/>
          <w:divBdr>
            <w:top w:val="none" w:sz="0" w:space="0" w:color="auto"/>
            <w:left w:val="none" w:sz="0" w:space="0" w:color="auto"/>
            <w:bottom w:val="none" w:sz="0" w:space="0" w:color="auto"/>
            <w:right w:val="none" w:sz="0" w:space="0" w:color="auto"/>
          </w:divBdr>
        </w:div>
        <w:div w:id="874775955">
          <w:marLeft w:val="0"/>
          <w:marRight w:val="0"/>
          <w:marTop w:val="0"/>
          <w:marBottom w:val="0"/>
          <w:divBdr>
            <w:top w:val="none" w:sz="0" w:space="0" w:color="auto"/>
            <w:left w:val="none" w:sz="0" w:space="0" w:color="auto"/>
            <w:bottom w:val="none" w:sz="0" w:space="0" w:color="auto"/>
            <w:right w:val="none" w:sz="0" w:space="0" w:color="auto"/>
          </w:divBdr>
        </w:div>
        <w:div w:id="1622767297">
          <w:marLeft w:val="0"/>
          <w:marRight w:val="0"/>
          <w:marTop w:val="0"/>
          <w:marBottom w:val="0"/>
          <w:divBdr>
            <w:top w:val="none" w:sz="0" w:space="0" w:color="auto"/>
            <w:left w:val="none" w:sz="0" w:space="0" w:color="auto"/>
            <w:bottom w:val="none" w:sz="0" w:space="0" w:color="auto"/>
            <w:right w:val="none" w:sz="0" w:space="0" w:color="auto"/>
          </w:divBdr>
        </w:div>
        <w:div w:id="2111394086">
          <w:marLeft w:val="0"/>
          <w:marRight w:val="0"/>
          <w:marTop w:val="0"/>
          <w:marBottom w:val="0"/>
          <w:divBdr>
            <w:top w:val="none" w:sz="0" w:space="0" w:color="auto"/>
            <w:left w:val="none" w:sz="0" w:space="0" w:color="auto"/>
            <w:bottom w:val="none" w:sz="0" w:space="0" w:color="auto"/>
            <w:right w:val="none" w:sz="0" w:space="0" w:color="auto"/>
          </w:divBdr>
        </w:div>
      </w:divsChild>
    </w:div>
    <w:div w:id="1383404318">
      <w:bodyDiv w:val="1"/>
      <w:marLeft w:val="0"/>
      <w:marRight w:val="0"/>
      <w:marTop w:val="0"/>
      <w:marBottom w:val="0"/>
      <w:divBdr>
        <w:top w:val="none" w:sz="0" w:space="0" w:color="auto"/>
        <w:left w:val="none" w:sz="0" w:space="0" w:color="auto"/>
        <w:bottom w:val="none" w:sz="0" w:space="0" w:color="auto"/>
        <w:right w:val="none" w:sz="0" w:space="0" w:color="auto"/>
      </w:divBdr>
    </w:div>
    <w:div w:id="1603608310">
      <w:bodyDiv w:val="1"/>
      <w:marLeft w:val="0"/>
      <w:marRight w:val="0"/>
      <w:marTop w:val="0"/>
      <w:marBottom w:val="0"/>
      <w:divBdr>
        <w:top w:val="none" w:sz="0" w:space="0" w:color="auto"/>
        <w:left w:val="none" w:sz="0" w:space="0" w:color="auto"/>
        <w:bottom w:val="none" w:sz="0" w:space="0" w:color="auto"/>
        <w:right w:val="none" w:sz="0" w:space="0" w:color="auto"/>
      </w:divBdr>
    </w:div>
    <w:div w:id="1781563043">
      <w:bodyDiv w:val="1"/>
      <w:marLeft w:val="0"/>
      <w:marRight w:val="0"/>
      <w:marTop w:val="0"/>
      <w:marBottom w:val="0"/>
      <w:divBdr>
        <w:top w:val="none" w:sz="0" w:space="0" w:color="auto"/>
        <w:left w:val="none" w:sz="0" w:space="0" w:color="auto"/>
        <w:bottom w:val="none" w:sz="0" w:space="0" w:color="auto"/>
        <w:right w:val="none" w:sz="0" w:space="0" w:color="auto"/>
      </w:divBdr>
      <w:divsChild>
        <w:div w:id="1788356154">
          <w:marLeft w:val="0"/>
          <w:marRight w:val="0"/>
          <w:marTop w:val="0"/>
          <w:marBottom w:val="0"/>
          <w:divBdr>
            <w:top w:val="none" w:sz="0" w:space="0" w:color="auto"/>
            <w:left w:val="none" w:sz="0" w:space="0" w:color="auto"/>
            <w:bottom w:val="none" w:sz="0" w:space="0" w:color="auto"/>
            <w:right w:val="none" w:sz="0" w:space="0" w:color="auto"/>
          </w:divBdr>
          <w:divsChild>
            <w:div w:id="1077434100">
              <w:marLeft w:val="0"/>
              <w:marRight w:val="0"/>
              <w:marTop w:val="0"/>
              <w:marBottom w:val="0"/>
              <w:divBdr>
                <w:top w:val="none" w:sz="0" w:space="0" w:color="auto"/>
                <w:left w:val="none" w:sz="0" w:space="0" w:color="auto"/>
                <w:bottom w:val="none" w:sz="0" w:space="0" w:color="auto"/>
                <w:right w:val="none" w:sz="0" w:space="0" w:color="auto"/>
              </w:divBdr>
              <w:divsChild>
                <w:div w:id="329523531">
                  <w:marLeft w:val="0"/>
                  <w:marRight w:val="0"/>
                  <w:marTop w:val="0"/>
                  <w:marBottom w:val="0"/>
                  <w:divBdr>
                    <w:top w:val="none" w:sz="0" w:space="0" w:color="auto"/>
                    <w:left w:val="none" w:sz="0" w:space="0" w:color="auto"/>
                    <w:bottom w:val="none" w:sz="0" w:space="0" w:color="auto"/>
                    <w:right w:val="none" w:sz="0" w:space="0" w:color="auto"/>
                  </w:divBdr>
                  <w:divsChild>
                    <w:div w:id="177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25377">
          <w:marLeft w:val="0"/>
          <w:marRight w:val="0"/>
          <w:marTop w:val="0"/>
          <w:marBottom w:val="0"/>
          <w:divBdr>
            <w:top w:val="none" w:sz="0" w:space="0" w:color="auto"/>
            <w:left w:val="none" w:sz="0" w:space="0" w:color="auto"/>
            <w:bottom w:val="none" w:sz="0" w:space="0" w:color="auto"/>
            <w:right w:val="none" w:sz="0" w:space="0" w:color="auto"/>
          </w:divBdr>
          <w:divsChild>
            <w:div w:id="809203386">
              <w:marLeft w:val="0"/>
              <w:marRight w:val="0"/>
              <w:marTop w:val="0"/>
              <w:marBottom w:val="0"/>
              <w:divBdr>
                <w:top w:val="none" w:sz="0" w:space="0" w:color="auto"/>
                <w:left w:val="none" w:sz="0" w:space="0" w:color="auto"/>
                <w:bottom w:val="none" w:sz="0" w:space="0" w:color="auto"/>
                <w:right w:val="none" w:sz="0" w:space="0" w:color="auto"/>
              </w:divBdr>
              <w:divsChild>
                <w:div w:id="1335379327">
                  <w:marLeft w:val="0"/>
                  <w:marRight w:val="0"/>
                  <w:marTop w:val="0"/>
                  <w:marBottom w:val="0"/>
                  <w:divBdr>
                    <w:top w:val="none" w:sz="0" w:space="0" w:color="auto"/>
                    <w:left w:val="none" w:sz="0" w:space="0" w:color="auto"/>
                    <w:bottom w:val="none" w:sz="0" w:space="0" w:color="auto"/>
                    <w:right w:val="none" w:sz="0" w:space="0" w:color="auto"/>
                  </w:divBdr>
                  <w:divsChild>
                    <w:div w:id="2390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nutd.edu.ua/files/grants/osvitni/erasmus/3.8_navch-posibnyk_2023.pdf" TargetMode="External"/><Relationship Id="rId13" Type="http://schemas.openxmlformats.org/officeDocument/2006/relationships/hyperlink" Target="https://eur-lex.europa.eu/legal-content/EN/TXT/?uri=CELEX%3A32015R2365" TargetMode="External"/><Relationship Id="rId18" Type="http://schemas.openxmlformats.org/officeDocument/2006/relationships/hyperlink" Target="https://eur-lex.europa.eu/legal-content/EN/TXT/?uri=CELEX%3A32018L0843" TargetMode="External"/><Relationship Id="rId3" Type="http://schemas.openxmlformats.org/officeDocument/2006/relationships/settings" Target="settings.xml"/><Relationship Id="rId21" Type="http://schemas.openxmlformats.org/officeDocument/2006/relationships/hyperlink" Target="https://www.eiopa.europa.eu/" TargetMode="External"/><Relationship Id="rId7" Type="http://schemas.openxmlformats.org/officeDocument/2006/relationships/hyperlink" Target="http://ief.org.ua/docs/mg/312.pdf" TargetMode="External"/><Relationship Id="rId12" Type="http://schemas.openxmlformats.org/officeDocument/2006/relationships/hyperlink" Target="https://eur-lex.europa.eu/legal-content/EN/TXT/?uri=CELEX%3A32011L0061" TargetMode="External"/><Relationship Id="rId17" Type="http://schemas.openxmlformats.org/officeDocument/2006/relationships/hyperlink" Target="https://eur-lex.europa.eu/legal-content/EN/TXT/?uri=CELEX%3A32014R090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EN/TXT/?uri=CELEX%3A32012R0648" TargetMode="External"/><Relationship Id="rId20" Type="http://schemas.openxmlformats.org/officeDocument/2006/relationships/hyperlink" Target="https://www.es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09L006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s.org/bcbs/basel3.htm" TargetMode="External"/><Relationship Id="rId23" Type="http://schemas.openxmlformats.org/officeDocument/2006/relationships/footer" Target="footer1.xml"/><Relationship Id="rId10" Type="http://schemas.openxmlformats.org/officeDocument/2006/relationships/hyperlink" Target="https://eur-lex.europa.eu/legalcontent/EN/TXT/?uri=celex%3A32013R0575" TargetMode="External"/><Relationship Id="rId19" Type="http://schemas.openxmlformats.org/officeDocument/2006/relationships/hyperlink" Target="https://www.eba.europa.eu/" TargetMode="External"/><Relationship Id="rId4" Type="http://schemas.openxmlformats.org/officeDocument/2006/relationships/webSettings" Target="webSettings.xml"/><Relationship Id="rId9" Type="http://schemas.openxmlformats.org/officeDocument/2006/relationships/hyperlink" Target="https://eurlex.europa.eu/legal-content/EN/TXT/?uri=celex%3A32014L0065" TargetMode="External"/><Relationship Id="rId14" Type="http://schemas.openxmlformats.org/officeDocument/2006/relationships/hyperlink" Target="https://ec.europa.eu/info/business-economy-euro/banking-and-finance/banking-union_en" TargetMode="External"/><Relationship Id="rId22" Type="http://schemas.openxmlformats.org/officeDocument/2006/relationships/hyperlink" Target="https://ec.europa.eu/info/business-economy-euro/banking-and-finance/banking-union/european-deposit-insurance-scheme_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12</Pages>
  <Words>4172</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2024-11-05T15:49:00Z</dcterms:created>
  <dcterms:modified xsi:type="dcterms:W3CDTF">2024-11-11T18:35:00Z</dcterms:modified>
</cp:coreProperties>
</file>