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4C3" w:rsidRDefault="006E44C3" w:rsidP="006E44C3">
      <w:pPr>
        <w:tabs>
          <w:tab w:val="left" w:pos="0"/>
          <w:tab w:val="left" w:pos="6135"/>
        </w:tabs>
        <w:overflowPunct w:val="0"/>
        <w:adjustRightInd w:val="0"/>
        <w:jc w:val="center"/>
        <w:textAlignment w:val="baseline"/>
        <w:rPr>
          <w:rFonts w:ascii="Times New Roman" w:hAnsi="Times New Roman" w:cs="Times New Roman"/>
          <w:b/>
          <w:lang w:val="en-US"/>
        </w:rPr>
      </w:pPr>
      <w:r w:rsidRPr="00B40441">
        <w:rPr>
          <w:rFonts w:ascii="Times New Roman" w:hAnsi="Times New Roman" w:cs="Times New Roman"/>
          <w:b/>
        </w:rPr>
        <w:t>Інформаційні ресурси:</w:t>
      </w:r>
    </w:p>
    <w:p w:rsidR="006E44C3" w:rsidRPr="00CB0337" w:rsidRDefault="006E44C3" w:rsidP="006E44C3">
      <w:pPr>
        <w:pStyle w:val="a3"/>
        <w:numPr>
          <w:ilvl w:val="0"/>
          <w:numId w:val="1"/>
        </w:numPr>
        <w:shd w:val="clear" w:color="auto" w:fill="FFFFFF"/>
        <w:tabs>
          <w:tab w:val="left" w:pos="993"/>
        </w:tabs>
        <w:ind w:left="0" w:firstLine="709"/>
        <w:jc w:val="both"/>
        <w:rPr>
          <w:rFonts w:ascii="Times New Roman" w:hAnsi="Times New Roman" w:cs="Times New Roman"/>
        </w:rPr>
      </w:pPr>
      <w:r w:rsidRPr="00CB0337">
        <w:rPr>
          <w:rFonts w:ascii="Times New Roman" w:hAnsi="Times New Roman" w:cs="Times New Roman"/>
        </w:rPr>
        <w:t xml:space="preserve">Європейський стабілізаційний механізм (ESM). Офіційний сайт. URL: </w:t>
      </w:r>
      <w:hyperlink r:id="rId5" w:tgtFrame="_new" w:history="1">
        <w:r w:rsidRPr="00CB0337">
          <w:rPr>
            <w:rFonts w:ascii="Times New Roman" w:hAnsi="Times New Roman" w:cs="Times New Roman"/>
          </w:rPr>
          <w:t>https://www.esm.europa.eu</w:t>
        </w:r>
      </w:hyperlink>
    </w:p>
    <w:p w:rsidR="006E44C3" w:rsidRPr="00CB0337" w:rsidRDefault="006E44C3" w:rsidP="006E44C3">
      <w:pPr>
        <w:pStyle w:val="a3"/>
        <w:numPr>
          <w:ilvl w:val="0"/>
          <w:numId w:val="1"/>
        </w:numPr>
        <w:shd w:val="clear" w:color="auto" w:fill="FFFFFF"/>
        <w:tabs>
          <w:tab w:val="left" w:pos="993"/>
        </w:tabs>
        <w:ind w:left="0" w:firstLine="709"/>
        <w:jc w:val="both"/>
        <w:rPr>
          <w:rFonts w:ascii="Times New Roman" w:hAnsi="Times New Roman" w:cs="Times New Roman"/>
        </w:rPr>
      </w:pPr>
      <w:r w:rsidRPr="00CB0337">
        <w:rPr>
          <w:rFonts w:ascii="Times New Roman" w:hAnsi="Times New Roman" w:cs="Times New Roman"/>
        </w:rPr>
        <w:t xml:space="preserve">Звіти Європейського центрального банку (ЄЦБ) щодо фінансової стабільності.  </w:t>
      </w:r>
      <w:hyperlink r:id="rId6" w:tgtFrame="_new" w:history="1">
        <w:r w:rsidRPr="00CB0337">
          <w:rPr>
            <w:rFonts w:ascii="Times New Roman" w:hAnsi="Times New Roman" w:cs="Times New Roman"/>
          </w:rPr>
          <w:t>https://www.ecb.europa.eu</w:t>
        </w:r>
      </w:hyperlink>
    </w:p>
    <w:p w:rsidR="006E44C3" w:rsidRPr="00CB0337" w:rsidRDefault="006E44C3" w:rsidP="006E44C3">
      <w:pPr>
        <w:pStyle w:val="a3"/>
        <w:numPr>
          <w:ilvl w:val="0"/>
          <w:numId w:val="1"/>
        </w:numPr>
        <w:shd w:val="clear" w:color="auto" w:fill="FFFFFF"/>
        <w:tabs>
          <w:tab w:val="left" w:pos="993"/>
        </w:tabs>
        <w:ind w:left="0" w:firstLine="709"/>
        <w:jc w:val="both"/>
        <w:rPr>
          <w:rFonts w:ascii="Times New Roman" w:hAnsi="Times New Roman" w:cs="Times New Roman"/>
        </w:rPr>
      </w:pPr>
      <w:r w:rsidRPr="00CB0337">
        <w:rPr>
          <w:rFonts w:ascii="Times New Roman" w:hAnsi="Times New Roman" w:cs="Times New Roman"/>
        </w:rPr>
        <w:t xml:space="preserve">Регламент (ЄС) № 1092/2010 Європейського парламенту та Ради від 24 листопада 2010 року про макропруденційний нагляд за фінансовою системою в ЄС і заснування Європейської ради з системних ризиків (ESRB). URL: </w:t>
      </w:r>
      <w:hyperlink r:id="rId7" w:tgtFrame="_new" w:history="1">
        <w:r w:rsidRPr="00CB0337">
          <w:rPr>
            <w:rFonts w:ascii="Times New Roman" w:hAnsi="Times New Roman" w:cs="Times New Roman"/>
          </w:rPr>
          <w:t>https://eur-lex.europa.eu</w:t>
        </w:r>
      </w:hyperlink>
    </w:p>
    <w:p w:rsidR="006E44C3" w:rsidRPr="00CB0337" w:rsidRDefault="006E44C3" w:rsidP="006E44C3">
      <w:pPr>
        <w:pStyle w:val="a3"/>
        <w:numPr>
          <w:ilvl w:val="0"/>
          <w:numId w:val="1"/>
        </w:numPr>
        <w:shd w:val="clear" w:color="auto" w:fill="FFFFFF"/>
        <w:tabs>
          <w:tab w:val="left" w:pos="993"/>
        </w:tabs>
        <w:ind w:left="0" w:firstLine="709"/>
        <w:jc w:val="both"/>
        <w:rPr>
          <w:rFonts w:ascii="Times New Roman" w:hAnsi="Times New Roman" w:cs="Times New Roman"/>
        </w:rPr>
      </w:pPr>
      <w:r w:rsidRPr="00CB0337">
        <w:rPr>
          <w:rFonts w:ascii="Times New Roman" w:hAnsi="Times New Roman" w:cs="Times New Roman"/>
        </w:rPr>
        <w:t xml:space="preserve">Basel Committee on Banking Supervision. Basel III: international regulatory framework for banks. URL: </w:t>
      </w:r>
      <w:hyperlink r:id="rId8" w:history="1">
        <w:r w:rsidRPr="00CB0337">
          <w:rPr>
            <w:rFonts w:ascii="Times New Roman" w:hAnsi="Times New Roman" w:cs="Times New Roman"/>
          </w:rPr>
          <w:t>https://www.bis.org/bcbs/basel3.htm</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993"/>
        </w:tabs>
        <w:ind w:left="0" w:firstLine="709"/>
        <w:jc w:val="both"/>
        <w:rPr>
          <w:rFonts w:ascii="Times New Roman" w:hAnsi="Times New Roman" w:cs="Times New Roman"/>
        </w:rPr>
      </w:pPr>
      <w:r w:rsidRPr="00CB0337">
        <w:rPr>
          <w:rFonts w:ascii="Times New Roman" w:hAnsi="Times New Roman" w:cs="Times New Roman"/>
        </w:rPr>
        <w:t xml:space="preserve">Directive (EU) 2018/843 of the European Parliament and of the Council of 30 May 2018 amending Directive (EU) 2015/849 on the prevention of the use of the financial system for the purposes of money laundering or terrorist financing (AMLD V). URL: </w:t>
      </w:r>
      <w:hyperlink r:id="rId9" w:tgtFrame="_new" w:history="1">
        <w:r w:rsidRPr="00CB0337">
          <w:rPr>
            <w:rFonts w:ascii="Times New Roman" w:hAnsi="Times New Roman" w:cs="Times New Roman"/>
          </w:rPr>
          <w:t>https://eur-lex.europa.eu/legal-content/EN/TXT/?uri=CELEX%3A32018L0843</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993"/>
        </w:tabs>
        <w:ind w:left="0" w:firstLine="709"/>
        <w:jc w:val="both"/>
        <w:rPr>
          <w:rFonts w:ascii="Times New Roman" w:hAnsi="Times New Roman" w:cs="Times New Roman"/>
        </w:rPr>
      </w:pPr>
      <w:r w:rsidRPr="00CB0337">
        <w:rPr>
          <w:rFonts w:ascii="Times New Roman" w:hAnsi="Times New Roman" w:cs="Times New Roman"/>
        </w:rPr>
        <w:t xml:space="preserve">Directive 2009/65/EC of the European Parliament and of the Council of 13 July 2009 on the coordination of laws, regulations and administrative provisions relating to undertakings for collective investment in transferable securities (UCITS) (recast) (Text with EEA relevance). URL: </w:t>
      </w:r>
      <w:hyperlink r:id="rId10" w:history="1">
        <w:r w:rsidRPr="00CB0337">
          <w:rPr>
            <w:rFonts w:ascii="Times New Roman" w:hAnsi="Times New Roman" w:cs="Times New Roman"/>
          </w:rPr>
          <w:t>https://eur-lex.europa.eu/legal-content/EN/TXT/?uri=CELEX%3A32009L0065</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993"/>
        </w:tabs>
        <w:ind w:left="0" w:firstLine="709"/>
        <w:jc w:val="both"/>
        <w:rPr>
          <w:rFonts w:ascii="Times New Roman" w:hAnsi="Times New Roman" w:cs="Times New Roman"/>
        </w:rPr>
      </w:pPr>
      <w:r w:rsidRPr="00CB0337">
        <w:rPr>
          <w:rFonts w:ascii="Times New Roman" w:hAnsi="Times New Roman" w:cs="Times New Roman"/>
        </w:rPr>
        <w:t xml:space="preserve">Directive 2011/61/EU of the European Parliament and of the Council of 8 June 2011 on Alternative Investment Fund Managers and amending Directives 2003/41/EC and 2009/65/EC and Regulations (EC) No 1060/2009 and (EU) No 1095/2010. URL: </w:t>
      </w:r>
      <w:hyperlink r:id="rId11" w:tgtFrame="_new" w:history="1">
        <w:r w:rsidRPr="00CB0337">
          <w:rPr>
            <w:rFonts w:ascii="Times New Roman" w:hAnsi="Times New Roman" w:cs="Times New Roman"/>
          </w:rPr>
          <w:t>https://eur-lex.europa.eu/legal-content/EN/TXT/?uri=CELEX%3A32011L0061</w:t>
        </w:r>
      </w:hyperlink>
    </w:p>
    <w:p w:rsidR="006E44C3" w:rsidRPr="00CB0337" w:rsidRDefault="006E44C3" w:rsidP="006E44C3">
      <w:pPr>
        <w:pStyle w:val="a3"/>
        <w:numPr>
          <w:ilvl w:val="0"/>
          <w:numId w:val="1"/>
        </w:numPr>
        <w:shd w:val="clear" w:color="auto" w:fill="FFFFFF"/>
        <w:tabs>
          <w:tab w:val="left" w:pos="993"/>
        </w:tabs>
        <w:ind w:left="0" w:firstLine="709"/>
        <w:jc w:val="both"/>
        <w:rPr>
          <w:rFonts w:ascii="Times New Roman" w:hAnsi="Times New Roman" w:cs="Times New Roman"/>
        </w:rPr>
      </w:pPr>
      <w:r w:rsidRPr="00CB0337">
        <w:rPr>
          <w:rFonts w:ascii="Times New Roman" w:hAnsi="Times New Roman" w:cs="Times New Roman"/>
        </w:rPr>
        <w:t xml:space="preserve">Directive 2014/65/EU of the European Parliament and of the Council of 15 May 2014 on markets in financial instruments and amending Directive 2002/92/EC and Directive 2011/61/EU Text with EEA relevance. URL: </w:t>
      </w:r>
      <w:hyperlink r:id="rId12" w:history="1">
        <w:r w:rsidRPr="00CB0337">
          <w:rPr>
            <w:rFonts w:ascii="Times New Roman" w:hAnsi="Times New Roman" w:cs="Times New Roman"/>
          </w:rPr>
          <w:t>https://eurlex.europa.eu/legal-content/EN/TXT/?uri=celex%3A32014L0065</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European Banking Authority (EBA). Офіційна сторінка: URL: </w:t>
      </w:r>
      <w:hyperlink r:id="rId13" w:tgtFrame="_new" w:history="1">
        <w:r w:rsidRPr="00CB0337">
          <w:rPr>
            <w:rFonts w:ascii="Times New Roman" w:hAnsi="Times New Roman" w:cs="Times New Roman"/>
          </w:rPr>
          <w:t>https://www.eba.europa.eu/</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European Banking Union. URL: </w:t>
      </w:r>
      <w:hyperlink r:id="rId14" w:tgtFrame="_new" w:history="1">
        <w:r w:rsidRPr="00CB0337">
          <w:rPr>
            <w:rFonts w:ascii="Times New Roman" w:hAnsi="Times New Roman" w:cs="Times New Roman"/>
          </w:rPr>
          <w:t>https://ec.europa.eu/info/business-economy-euro/banking-and-finance/banking-union_en</w:t>
        </w:r>
      </w:hyperlink>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European Commission. Commission welcomes agreement on EU Annual Budget 2023. URL: </w:t>
      </w:r>
      <w:hyperlink r:id="rId15" w:history="1">
        <w:r w:rsidRPr="00CB0337">
          <w:rPr>
            <w:rFonts w:ascii="Times New Roman" w:hAnsi="Times New Roman" w:cs="Times New Roman"/>
          </w:rPr>
          <w:t>https://ec.europa.eu/commission/presscorner/detail/en/ip_22_6785</w:t>
        </w:r>
      </w:hyperlink>
      <w:r w:rsidRPr="00CB0337">
        <w:rPr>
          <w:rFonts w:ascii="Times New Roman" w:hAnsi="Times New Roman" w:cs="Times New Roman"/>
        </w:rPr>
        <w:t xml:space="preserve"> </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European Commission. EU budget 2024: Enabling Europe to address its priorities. URL: </w:t>
      </w:r>
      <w:hyperlink r:id="rId16" w:history="1">
        <w:r w:rsidRPr="00CB0337">
          <w:rPr>
            <w:rFonts w:ascii="Times New Roman" w:hAnsi="Times New Roman" w:cs="Times New Roman"/>
          </w:rPr>
          <w:t>https://ec.europa.eu/commission/presscorner/detail/en/ip_23_3062</w:t>
        </w:r>
      </w:hyperlink>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European Commission. EU Budget for Recovery (NextGenerationEU). URL: https://economy-finance.ec.europa.eu/economic-recovery_en</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European Commission. Multiannual Financial Framework (MFF) 2021-2027. URL: https://commission.europa.eu/strategy-and-policy/eu-budget/long-term-eu-budget/2021-2027_en</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European Commission. The EU's Own Resources. URL: https://commission.europa.eu/strategy-and-policy/eu-budget/long-term-eu-budget/2021-2027/revenue/own-resources_en</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European Council. Questions and answers on the annual budget 2024. URL: https://ec.europa.eu/commission/presscorner/detail/en/qanda_23_5686 </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European Court of Auditors. Reports on EU Budget Performance. URL: https://www.eca.europa.eu/en/multiple-reports</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European Deposit Insurance Scheme (EDIS). URL: </w:t>
      </w:r>
      <w:hyperlink r:id="rId17" w:tgtFrame="_new" w:history="1">
        <w:r w:rsidRPr="00CB0337">
          <w:rPr>
            <w:rFonts w:ascii="Times New Roman" w:hAnsi="Times New Roman" w:cs="Times New Roman"/>
          </w:rPr>
          <w:t>https://ec.europa.eu/info/business-economy-euro/banking-and-finance/banking-union/european-deposit-insurance-scheme_en</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European Insurance and Occupational Pensions Authority (EIOPA). Офіційна сторінка: URL: </w:t>
      </w:r>
      <w:hyperlink r:id="rId18" w:tgtFrame="_new" w:history="1">
        <w:r w:rsidRPr="00CB0337">
          <w:rPr>
            <w:rFonts w:ascii="Times New Roman" w:hAnsi="Times New Roman" w:cs="Times New Roman"/>
          </w:rPr>
          <w:t>https://www.eiopa.europa.eu/</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European Parliament. How the EU Budget is Decided. URL: https://www.europarl.europa.eu/factsheets/en/sheet/10/the-budgetary-procedure</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lastRenderedPageBreak/>
        <w:t xml:space="preserve">European Securities and Markets Authority (ESMA). Офіційна сторінка: URL: </w:t>
      </w:r>
      <w:hyperlink r:id="rId19" w:tgtFrame="_new" w:history="1">
        <w:r w:rsidRPr="00CB0337">
          <w:rPr>
            <w:rFonts w:ascii="Times New Roman" w:hAnsi="Times New Roman" w:cs="Times New Roman"/>
          </w:rPr>
          <w:t>https://www.esma.europa.eu/</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Regulation (EU) 2015/2365 of the European Parliament and of the Council of 25 November 2015 on transparency of securities financing transactions and of reuse and amending Regulation (EU) No 648/2012. URL: </w:t>
      </w:r>
      <w:hyperlink r:id="rId20" w:tgtFrame="_new" w:history="1">
        <w:r w:rsidRPr="00CB0337">
          <w:rPr>
            <w:rFonts w:ascii="Times New Roman" w:hAnsi="Times New Roman" w:cs="Times New Roman"/>
          </w:rPr>
          <w:t>https://eur-lex.europa.eu/legal-content/EN/TXT/?uri=CELEX%3A32015R2365</w:t>
        </w:r>
      </w:hyperlink>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Regulation (EU) No 575/2013 of the European Parliament and of the Council of 26 June 2013 on prudential requirements for credit institutions and investment firms and amending Regulation (EU) No 648/2012. URL: </w:t>
      </w:r>
      <w:hyperlink r:id="rId21" w:history="1">
        <w:r w:rsidRPr="00CB0337">
          <w:rPr>
            <w:rFonts w:ascii="Times New Roman" w:hAnsi="Times New Roman" w:cs="Times New Roman"/>
          </w:rPr>
          <w:t>https://eur-lex.europa.eu/legalcontent/EN/TXT/?uri=celex%3A32013R0575</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Regulation (EU) No 648/2012 of the European Parliament and of the Council of 4 July 2012 on OTC derivatives, central counterparties and trade repositories (EMIR). URL: </w:t>
      </w:r>
      <w:hyperlink r:id="rId22" w:tgtFrame="_new" w:history="1">
        <w:r w:rsidRPr="00CB0337">
          <w:rPr>
            <w:rFonts w:ascii="Times New Roman" w:hAnsi="Times New Roman" w:cs="Times New Roman"/>
          </w:rPr>
          <w:t>https://eur-lex.europa.eu/legal-content/EN/TXT/?uri=CELEX%3A32012R0648</w:t>
        </w:r>
      </w:hyperlink>
      <w:r w:rsidRPr="00CB0337">
        <w:rPr>
          <w:rFonts w:ascii="Times New Roman" w:hAnsi="Times New Roman" w:cs="Times New Roman"/>
        </w:rPr>
        <w:t>.</w:t>
      </w:r>
    </w:p>
    <w:p w:rsidR="006E44C3" w:rsidRPr="00CB0337" w:rsidRDefault="006E44C3" w:rsidP="006E44C3">
      <w:pPr>
        <w:pStyle w:val="a3"/>
        <w:numPr>
          <w:ilvl w:val="0"/>
          <w:numId w:val="1"/>
        </w:numPr>
        <w:shd w:val="clear" w:color="auto" w:fill="FFFFFF"/>
        <w:tabs>
          <w:tab w:val="left" w:pos="1134"/>
        </w:tabs>
        <w:ind w:left="0" w:firstLine="709"/>
        <w:jc w:val="both"/>
        <w:rPr>
          <w:rFonts w:ascii="Times New Roman" w:hAnsi="Times New Roman" w:cs="Times New Roman"/>
        </w:rPr>
      </w:pPr>
      <w:r w:rsidRPr="00CB0337">
        <w:rPr>
          <w:rFonts w:ascii="Times New Roman" w:hAnsi="Times New Roman" w:cs="Times New Roman"/>
        </w:rPr>
        <w:t xml:space="preserve">Regulation (EU) No 909/2014 of the European Parliament and of the Council of 23 July 2014 on improving securities settlement in the European Union and on central securities depositories (CSDR). URL: </w:t>
      </w:r>
      <w:hyperlink r:id="rId23" w:tgtFrame="_new" w:history="1">
        <w:r w:rsidRPr="00CB0337">
          <w:rPr>
            <w:rFonts w:ascii="Times New Roman" w:hAnsi="Times New Roman" w:cs="Times New Roman"/>
          </w:rPr>
          <w:t>https://eur-lex.europa.eu/legal-content/EN/TXT/?uri=CELEX%3A32014R0909</w:t>
        </w:r>
      </w:hyperlink>
    </w:p>
    <w:p w:rsidR="00887D7E" w:rsidRDefault="00887D7E"/>
    <w:sectPr w:rsidR="00887D7E" w:rsidSect="00887D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Yu Gothic UI"/>
    <w:charset w:val="01"/>
    <w:family w:val="roman"/>
    <w:pitch w:val="variable"/>
    <w:sig w:usb0="00000000" w:usb1="00000000" w:usb2="00000000" w:usb3="00000000" w:csb0="00000000" w:csb1="00000000"/>
  </w:font>
  <w:font w:name="Droid Sans Fallback">
    <w:altName w:val="@Malgun Gothic Semilight"/>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27E29"/>
    <w:multiLevelType w:val="hybridMultilevel"/>
    <w:tmpl w:val="DA7EB7D2"/>
    <w:lvl w:ilvl="0" w:tplc="4B6245A8">
      <w:start w:val="1"/>
      <w:numFmt w:val="decimal"/>
      <w:lvlText w:val="%1."/>
      <w:lvlJc w:val="left"/>
      <w:pPr>
        <w:ind w:left="1444" w:hanging="7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compat>
    <w:useFELayout/>
  </w:compat>
  <w:rsids>
    <w:rsidRoot w:val="006E44C3"/>
    <w:rsid w:val="000823E2"/>
    <w:rsid w:val="000B12EB"/>
    <w:rsid w:val="00120C81"/>
    <w:rsid w:val="00184F31"/>
    <w:rsid w:val="00254978"/>
    <w:rsid w:val="00275075"/>
    <w:rsid w:val="00321C5A"/>
    <w:rsid w:val="00322421"/>
    <w:rsid w:val="003A0DF8"/>
    <w:rsid w:val="003A1AAB"/>
    <w:rsid w:val="003A6CCA"/>
    <w:rsid w:val="004765B0"/>
    <w:rsid w:val="004F3695"/>
    <w:rsid w:val="004F5879"/>
    <w:rsid w:val="00523832"/>
    <w:rsid w:val="00656105"/>
    <w:rsid w:val="0068065E"/>
    <w:rsid w:val="00691151"/>
    <w:rsid w:val="006C7B54"/>
    <w:rsid w:val="006E0ABF"/>
    <w:rsid w:val="006E44C3"/>
    <w:rsid w:val="007F01D5"/>
    <w:rsid w:val="008164BA"/>
    <w:rsid w:val="008251EC"/>
    <w:rsid w:val="00880C52"/>
    <w:rsid w:val="00887D7E"/>
    <w:rsid w:val="008B6BA1"/>
    <w:rsid w:val="009577E8"/>
    <w:rsid w:val="0097458D"/>
    <w:rsid w:val="009C5EF0"/>
    <w:rsid w:val="00A65FFB"/>
    <w:rsid w:val="00B44D78"/>
    <w:rsid w:val="00CC4346"/>
    <w:rsid w:val="00D44E79"/>
    <w:rsid w:val="00DA464C"/>
    <w:rsid w:val="00E0613C"/>
    <w:rsid w:val="00E20574"/>
    <w:rsid w:val="00EF09AA"/>
    <w:rsid w:val="00FE774E"/>
    <w:rsid w:val="00FF077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4C3"/>
    <w:pPr>
      <w:widowControl w:val="0"/>
      <w:suppressAutoHyphens/>
      <w:spacing w:after="0" w:line="240" w:lineRule="auto"/>
    </w:pPr>
    <w:rPr>
      <w:rFonts w:ascii="Liberation Serif" w:eastAsia="Droid Sans Fallback" w:hAnsi="Liberation Serif" w:cs="FreeSans"/>
      <w:kern w:val="2"/>
      <w:sz w:val="24"/>
      <w:szCs w:val="24"/>
      <w:lang w:val="uk-UA"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4C3"/>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s.org/bcbs/basel3.htm" TargetMode="External"/><Relationship Id="rId13" Type="http://schemas.openxmlformats.org/officeDocument/2006/relationships/hyperlink" Target="https://www.eba.europa.eu/" TargetMode="External"/><Relationship Id="rId18" Type="http://schemas.openxmlformats.org/officeDocument/2006/relationships/hyperlink" Target="https://www.eiopa.europa.eu/" TargetMode="External"/><Relationship Id="rId3" Type="http://schemas.openxmlformats.org/officeDocument/2006/relationships/settings" Target="settings.xml"/><Relationship Id="rId21" Type="http://schemas.openxmlformats.org/officeDocument/2006/relationships/hyperlink" Target="https://eur-lex.europa.eu/legalcontent/EN/TXT/?uri=celex%3A32013R0575" TargetMode="External"/><Relationship Id="rId7" Type="http://schemas.openxmlformats.org/officeDocument/2006/relationships/hyperlink" Target="https://eur-lex.europa.eu/legal-content/EN/TXT/?uri=CELEX%3A32010R1092" TargetMode="External"/><Relationship Id="rId12" Type="http://schemas.openxmlformats.org/officeDocument/2006/relationships/hyperlink" Target="https://eurlex.europa.eu/legal-content/EN/TXT/?uri=celex%3A32014L0065" TargetMode="External"/><Relationship Id="rId17" Type="http://schemas.openxmlformats.org/officeDocument/2006/relationships/hyperlink" Target="https://ec.europa.eu/info/business-economy-euro/banking-and-finance/banking-union/european-deposit-insurance-scheme_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europa.eu/commission/presscorner/detail/en/ip_23_3062" TargetMode="External"/><Relationship Id="rId20" Type="http://schemas.openxmlformats.org/officeDocument/2006/relationships/hyperlink" Target="https://eur-lex.europa.eu/legal-content/EN/TXT/?uri=CELEX%3A32015R2365" TargetMode="External"/><Relationship Id="rId1" Type="http://schemas.openxmlformats.org/officeDocument/2006/relationships/numbering" Target="numbering.xml"/><Relationship Id="rId6" Type="http://schemas.openxmlformats.org/officeDocument/2006/relationships/hyperlink" Target="https://www.ecb.europa.eu/pub/financial-stability" TargetMode="External"/><Relationship Id="rId11" Type="http://schemas.openxmlformats.org/officeDocument/2006/relationships/hyperlink" Target="https://eur-lex.europa.eu/legal-content/EN/TXT/?uri=CELEX%3A32011L0061" TargetMode="External"/><Relationship Id="rId24" Type="http://schemas.openxmlformats.org/officeDocument/2006/relationships/fontTable" Target="fontTable.xml"/><Relationship Id="rId5" Type="http://schemas.openxmlformats.org/officeDocument/2006/relationships/hyperlink" Target="https://www.esm.europa.eu/" TargetMode="External"/><Relationship Id="rId15" Type="http://schemas.openxmlformats.org/officeDocument/2006/relationships/hyperlink" Target="https://ec.europa.eu/commission/presscorner/detail/en/ip_22_6785" TargetMode="External"/><Relationship Id="rId23" Type="http://schemas.openxmlformats.org/officeDocument/2006/relationships/hyperlink" Target="https://eur-lex.europa.eu/legal-content/EN/TXT/?uri=CELEX%3A32014R0909" TargetMode="External"/><Relationship Id="rId10" Type="http://schemas.openxmlformats.org/officeDocument/2006/relationships/hyperlink" Target="https://eur-lex.europa.eu/legal-content/EN/TXT/?uri=CELEX%3A32009L0065" TargetMode="External"/><Relationship Id="rId19" Type="http://schemas.openxmlformats.org/officeDocument/2006/relationships/hyperlink" Target="https://www.esma.europa.eu/" TargetMode="External"/><Relationship Id="rId4" Type="http://schemas.openxmlformats.org/officeDocument/2006/relationships/webSettings" Target="webSettings.xml"/><Relationship Id="rId9" Type="http://schemas.openxmlformats.org/officeDocument/2006/relationships/hyperlink" Target="https://eur-lex.europa.eu/legal-content/EN/TXT/?uri=CELEX%3A32018L0843" TargetMode="External"/><Relationship Id="rId14" Type="http://schemas.openxmlformats.org/officeDocument/2006/relationships/hyperlink" Target="https://ec.europa.eu/info/business-economy-euro/banking-and-finance/banking-union_en" TargetMode="External"/><Relationship Id="rId22" Type="http://schemas.openxmlformats.org/officeDocument/2006/relationships/hyperlink" Target="https://eur-lex.europa.eu/legal-content/EN/TXT/?uri=CELEX%3A32012R06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2025-04-09T11:47:00Z</dcterms:created>
  <dcterms:modified xsi:type="dcterms:W3CDTF">2025-04-09T11:48:00Z</dcterms:modified>
</cp:coreProperties>
</file>