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C3" w:rsidRPr="00AE23C3" w:rsidRDefault="00AE23C3" w:rsidP="00AE23C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E23C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Тема 3. </w:t>
      </w:r>
      <w:r w:rsidRPr="00AE23C3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Фінансові ринки та регуляція в ЄС</w:t>
      </w:r>
    </w:p>
    <w:p w:rsidR="00AE23C3" w:rsidRPr="00AE23C3" w:rsidRDefault="00AE23C3" w:rsidP="00AE23C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:rsidR="00AE23C3" w:rsidRPr="00AE23C3" w:rsidRDefault="00AE23C3" w:rsidP="00AE23C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w:r w:rsidRPr="00AE23C3">
        <w:rPr>
          <w:rFonts w:ascii="Times New Roman" w:eastAsiaTheme="minorEastAsia" w:hAnsi="Times New Roman" w:cs="Times New Roman"/>
          <w:bCs/>
          <w:i/>
          <w:sz w:val="28"/>
          <w:szCs w:val="28"/>
        </w:rPr>
        <w:t>Питання для самостійного опрацювання:</w:t>
      </w:r>
    </w:p>
    <w:p w:rsidR="00AE23C3" w:rsidRPr="00AE23C3" w:rsidRDefault="00AE23C3" w:rsidP="00AE23C3">
      <w:pPr>
        <w:pStyle w:val="a5"/>
        <w:widowControl/>
        <w:numPr>
          <w:ilvl w:val="0"/>
          <w:numId w:val="1"/>
        </w:numPr>
        <w:tabs>
          <w:tab w:val="left" w:pos="685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C3">
        <w:rPr>
          <w:rFonts w:ascii="Times New Roman" w:eastAsia="Times New Roman" w:hAnsi="Times New Roman" w:cs="Times New Roman"/>
          <w:sz w:val="28"/>
          <w:szCs w:val="28"/>
        </w:rPr>
        <w:t xml:space="preserve">Основні фондові біржі ЄС (Euronext, Deutsche Börse): структура та обсяги торгів. </w:t>
      </w:r>
    </w:p>
    <w:p w:rsidR="00AE23C3" w:rsidRPr="00AE23C3" w:rsidRDefault="00AE23C3" w:rsidP="00AE23C3">
      <w:pPr>
        <w:pStyle w:val="a5"/>
        <w:widowControl/>
        <w:numPr>
          <w:ilvl w:val="0"/>
          <w:numId w:val="1"/>
        </w:numPr>
        <w:tabs>
          <w:tab w:val="left" w:pos="685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C3">
        <w:rPr>
          <w:rFonts w:ascii="Times New Roman" w:eastAsia="Times New Roman" w:hAnsi="Times New Roman" w:cs="Times New Roman"/>
          <w:sz w:val="28"/>
          <w:szCs w:val="28"/>
        </w:rPr>
        <w:t xml:space="preserve">Інструменти фондового ринку: акції, облігації, похідні фінансові інструменти. </w:t>
      </w:r>
    </w:p>
    <w:p w:rsidR="00AE23C3" w:rsidRPr="00AE23C3" w:rsidRDefault="00AE23C3" w:rsidP="00AE23C3">
      <w:pPr>
        <w:pStyle w:val="a5"/>
        <w:widowControl/>
        <w:numPr>
          <w:ilvl w:val="0"/>
          <w:numId w:val="1"/>
        </w:numPr>
        <w:tabs>
          <w:tab w:val="left" w:pos="685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C3">
        <w:rPr>
          <w:rFonts w:ascii="Times New Roman" w:eastAsia="Times New Roman" w:hAnsi="Times New Roman" w:cs="Times New Roman"/>
          <w:sz w:val="28"/>
          <w:szCs w:val="28"/>
        </w:rPr>
        <w:t>Регуляторна політика ЄС на фондових ринках: директиви MiFID II та їх вплив на прозорість і стабільність.</w:t>
      </w:r>
    </w:p>
    <w:p w:rsidR="00AE23C3" w:rsidRDefault="00AE23C3" w:rsidP="00AE23C3">
      <w:pPr>
        <w:pStyle w:val="a5"/>
        <w:widowControl/>
        <w:suppressAutoHyphens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</w:p>
    <w:p w:rsidR="00AE23C3" w:rsidRPr="00AE23C3" w:rsidRDefault="00AE23C3" w:rsidP="00AE23C3">
      <w:pPr>
        <w:pStyle w:val="a5"/>
        <w:widowControl/>
        <w:suppressAutoHyphens w:val="0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ru-RU" w:bidi="ar-SA"/>
        </w:rPr>
      </w:pPr>
      <w:r w:rsidRPr="00AE23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Практичне завдання 1. </w:t>
      </w:r>
      <w:r w:rsidRPr="00AE23C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ru-RU" w:bidi="ar-SA"/>
        </w:rPr>
        <w:t>Порівняльна характеристика фондових бірж ЄС.</w:t>
      </w:r>
    </w:p>
    <w:p w:rsidR="00AE23C3" w:rsidRPr="00AE23C3" w:rsidRDefault="00AE23C3" w:rsidP="00AE23C3">
      <w:pPr>
        <w:pStyle w:val="a5"/>
        <w:widowControl/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AE23C3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Підготуйте порівняльну таблицю за такими критеріями: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2835"/>
      </w:tblGrid>
      <w:tr w:rsidR="00AE23C3" w:rsidRPr="00AE23C3" w:rsidTr="00AE23C3">
        <w:tc>
          <w:tcPr>
            <w:tcW w:w="4361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bidi="ar-SA"/>
              </w:rPr>
            </w:pPr>
            <w:r w:rsidRPr="00AE23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bidi="ar-SA"/>
              </w:rPr>
              <w:t>Критерій</w:t>
            </w:r>
          </w:p>
        </w:tc>
        <w:tc>
          <w:tcPr>
            <w:tcW w:w="2268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bidi="ar-SA"/>
              </w:rPr>
            </w:pPr>
            <w:r w:rsidRPr="00AE23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bidi="ar-SA"/>
              </w:rPr>
              <w:t>Euronext</w:t>
            </w:r>
          </w:p>
        </w:tc>
        <w:tc>
          <w:tcPr>
            <w:tcW w:w="2835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bidi="ar-SA"/>
              </w:rPr>
            </w:pPr>
            <w:r w:rsidRPr="00AE23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bidi="ar-SA"/>
              </w:rPr>
              <w:t>Deutsche Börse</w:t>
            </w:r>
          </w:p>
        </w:tc>
      </w:tr>
      <w:tr w:rsidR="00AE23C3" w:rsidRPr="00AE23C3" w:rsidTr="00AE23C3">
        <w:tc>
          <w:tcPr>
            <w:tcW w:w="4361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AE23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Країна розташування</w:t>
            </w:r>
          </w:p>
        </w:tc>
        <w:tc>
          <w:tcPr>
            <w:tcW w:w="2268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</w:tr>
      <w:tr w:rsidR="00AE23C3" w:rsidRPr="00AE23C3" w:rsidTr="00AE23C3">
        <w:tc>
          <w:tcPr>
            <w:tcW w:w="4361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AE23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Рік заснування</w:t>
            </w:r>
          </w:p>
        </w:tc>
        <w:tc>
          <w:tcPr>
            <w:tcW w:w="2268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</w:tr>
      <w:tr w:rsidR="00AE23C3" w:rsidRPr="00AE23C3" w:rsidTr="00AE23C3">
        <w:tc>
          <w:tcPr>
            <w:tcW w:w="4361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AE23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Основні сегменти ринку</w:t>
            </w:r>
          </w:p>
        </w:tc>
        <w:tc>
          <w:tcPr>
            <w:tcW w:w="2268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</w:tr>
      <w:tr w:rsidR="00AE23C3" w:rsidRPr="00AE23C3" w:rsidTr="00AE23C3">
        <w:tc>
          <w:tcPr>
            <w:tcW w:w="4361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AE23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Обсяг торгів (останні дані)</w:t>
            </w:r>
          </w:p>
        </w:tc>
        <w:tc>
          <w:tcPr>
            <w:tcW w:w="2268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</w:tr>
      <w:tr w:rsidR="00AE23C3" w:rsidRPr="00AE23C3" w:rsidTr="00AE23C3">
        <w:tc>
          <w:tcPr>
            <w:tcW w:w="4361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AE23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Основні індекси</w:t>
            </w:r>
          </w:p>
        </w:tc>
        <w:tc>
          <w:tcPr>
            <w:tcW w:w="2268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hideMark/>
          </w:tcPr>
          <w:p w:rsidR="00AE23C3" w:rsidRPr="00AE23C3" w:rsidRDefault="00AE23C3" w:rsidP="00AE23C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</w:tr>
    </w:tbl>
    <w:p w:rsidR="00000000" w:rsidRDefault="00F83806">
      <w:pPr>
        <w:rPr>
          <w:sz w:val="28"/>
          <w:szCs w:val="28"/>
        </w:rPr>
      </w:pPr>
    </w:p>
    <w:p w:rsidR="00AE23C3" w:rsidRPr="00AE23C3" w:rsidRDefault="00AE23C3" w:rsidP="00AE23C3">
      <w:pPr>
        <w:widowControl/>
        <w:suppressAutoHyphens w:val="0"/>
        <w:ind w:firstLine="709"/>
        <w:jc w:val="both"/>
        <w:outlineLvl w:val="2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bidi="ar-SA"/>
        </w:rPr>
      </w:pPr>
      <w:r w:rsidRPr="00AE23C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ar-SA"/>
        </w:rPr>
        <w:t>Практичне завдання 2.</w:t>
      </w:r>
      <w:r w:rsidRPr="00AE23C3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 </w:t>
      </w:r>
      <w:r w:rsidRPr="00AE23C3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bidi="ar-SA"/>
        </w:rPr>
        <w:t>Практичний аналіз MiFID II</w:t>
      </w:r>
    </w:p>
    <w:p w:rsidR="00AE23C3" w:rsidRPr="00AE23C3" w:rsidRDefault="00AE23C3" w:rsidP="00AE23C3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AE23C3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Опрацюйте ключові положення директиви MiFID II та визначте:</w:t>
      </w:r>
    </w:p>
    <w:p w:rsidR="00AE23C3" w:rsidRPr="00AE23C3" w:rsidRDefault="00AE23C3" w:rsidP="00AE23C3">
      <w:pPr>
        <w:pStyle w:val="a5"/>
        <w:widowControl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AE23C3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які саме нововведення вона запровадила на фондових ринках;</w:t>
      </w:r>
    </w:p>
    <w:p w:rsidR="00AE23C3" w:rsidRPr="00AE23C3" w:rsidRDefault="00AE23C3" w:rsidP="00AE23C3">
      <w:pPr>
        <w:pStyle w:val="a5"/>
        <w:widowControl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AE23C3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як ці зміни вплинули на прозорість, захист інвесторів та стабільність ринку.</w:t>
      </w:r>
    </w:p>
    <w:p w:rsidR="00AE23C3" w:rsidRPr="00AE23C3" w:rsidRDefault="00AE23C3" w:rsidP="00AE23C3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AE23C3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Питання до обговорення:</w:t>
      </w:r>
    </w:p>
    <w:p w:rsidR="00AE23C3" w:rsidRPr="00AE23C3" w:rsidRDefault="00AE23C3" w:rsidP="00AE23C3">
      <w:pPr>
        <w:pStyle w:val="a5"/>
        <w:widowControl/>
        <w:numPr>
          <w:ilvl w:val="0"/>
          <w:numId w:val="5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AE23C3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Які позитивні наслідки мали вимоги щодо звітності?</w:t>
      </w:r>
    </w:p>
    <w:p w:rsidR="00AE23C3" w:rsidRPr="00AE23C3" w:rsidRDefault="00AE23C3" w:rsidP="00AE23C3">
      <w:pPr>
        <w:pStyle w:val="a5"/>
        <w:widowControl/>
        <w:numPr>
          <w:ilvl w:val="0"/>
          <w:numId w:val="5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AE23C3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Чи стали ринки більш доступними для роздрібних інвесторів?</w:t>
      </w:r>
    </w:p>
    <w:p w:rsidR="00AE23C3" w:rsidRDefault="00AE23C3">
      <w:pPr>
        <w:rPr>
          <w:sz w:val="28"/>
          <w:szCs w:val="28"/>
        </w:rPr>
      </w:pPr>
    </w:p>
    <w:p w:rsidR="00AE23C3" w:rsidRDefault="00AE23C3" w:rsidP="00AE2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3C3">
        <w:rPr>
          <w:rFonts w:ascii="Times New Roman" w:hAnsi="Times New Roman" w:cs="Times New Roman"/>
          <w:b/>
          <w:sz w:val="28"/>
          <w:szCs w:val="28"/>
        </w:rPr>
        <w:t>Тестові завдання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 xml:space="preserve">1. </w:t>
      </w:r>
      <w:r w:rsidRPr="00F83806">
        <w:rPr>
          <w:rFonts w:ascii="Times New Roman" w:hAnsi="Times New Roman" w:cs="Times New Roman"/>
          <w:b/>
          <w:sz w:val="28"/>
          <w:szCs w:val="28"/>
        </w:rPr>
        <w:t>Яка з перелічених бірж є однією з найбільших у Європейському Союзі?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Tokyo Stock Exchange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Euronext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NYSE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NASDAQ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b/>
          <w:sz w:val="28"/>
          <w:szCs w:val="28"/>
        </w:rPr>
        <w:t>2. Який фінансовий інструмент засвідчує право власності на частку в компанії?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Облігація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Акція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Дериватив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Депозит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b/>
          <w:sz w:val="28"/>
          <w:szCs w:val="28"/>
        </w:rPr>
        <w:t>3. Що з наведеного є прикладом похідного фінансового інструменту?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lastRenderedPageBreak/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Облігація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Іпотека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Ф'ючерс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Кредит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b/>
          <w:sz w:val="28"/>
          <w:szCs w:val="28"/>
        </w:rPr>
        <w:t>4. Яка директива регулює прозорість та стабільність фондових ринків у ЄС?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GDPR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MiFID II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CRD IV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SEPA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b/>
          <w:sz w:val="28"/>
          <w:szCs w:val="28"/>
        </w:rPr>
        <w:t>5. Яке основне призначення директиви MiFID II?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Захист прав споживачів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Регулювання податкових ставок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Забезпечення прозорості та захисту інвесторів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Гармонізація бухгалтерського обліку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b/>
          <w:sz w:val="28"/>
          <w:szCs w:val="28"/>
        </w:rPr>
        <w:t>6. Який з інструментів зазвичай має фіксовану процентну ставку та строк погашення?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Акція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Дериватив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Облігація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ETF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b/>
          <w:sz w:val="28"/>
          <w:szCs w:val="28"/>
        </w:rPr>
        <w:t>7. Який індекс використовується для оцінки ринку на біржі Deutsche Börse?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FTSE 100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CAC 40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DAX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OMX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b/>
          <w:sz w:val="28"/>
          <w:szCs w:val="28"/>
        </w:rPr>
        <w:t>8. Який орган наглядає за дотриманням правил MiFID II?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Європейський центральний банк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Європейська рада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ESMA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EIB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b/>
          <w:sz w:val="28"/>
          <w:szCs w:val="28"/>
        </w:rPr>
        <w:t>9. Яка біржа об'єднує фінансові центри Парижа, Амстердама, Брюсселя та Лісабона?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Euronext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Nasdaq Europe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Euroclear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LSE</w:t>
      </w:r>
    </w:p>
    <w:p w:rsidR="00F83806" w:rsidRPr="00F83806" w:rsidRDefault="00F83806" w:rsidP="00F83806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06">
        <w:rPr>
          <w:rFonts w:ascii="Times New Roman" w:hAnsi="Times New Roman" w:cs="Times New Roman"/>
          <w:b/>
          <w:sz w:val="28"/>
          <w:szCs w:val="28"/>
        </w:rPr>
        <w:t>10. Який тип інструментів є найчастіше використовуваним для хеджування ризиків?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Облігації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Ф'ючерси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Депозити</w:t>
      </w:r>
    </w:p>
    <w:p w:rsidR="00F83806" w:rsidRPr="00F83806" w:rsidRDefault="00F83806" w:rsidP="00F83806">
      <w:pPr>
        <w:pStyle w:val="a0"/>
        <w:numPr>
          <w:ilvl w:val="0"/>
          <w:numId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380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83806">
        <w:rPr>
          <w:rFonts w:ascii="Times New Roman" w:hAnsi="Times New Roman" w:cs="Times New Roman"/>
          <w:sz w:val="28"/>
          <w:szCs w:val="28"/>
        </w:rPr>
        <w:t xml:space="preserve">  Готівка</w:t>
      </w:r>
    </w:p>
    <w:p w:rsidR="00F83806" w:rsidRPr="00F83806" w:rsidRDefault="00F83806" w:rsidP="00F838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83806" w:rsidRPr="00F8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Yu Gothic UI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@Malgun Gothic Semilight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7FA13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54C06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B239EA"/>
    <w:multiLevelType w:val="hybridMultilevel"/>
    <w:tmpl w:val="5ED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959"/>
    <w:multiLevelType w:val="hybridMultilevel"/>
    <w:tmpl w:val="62A2428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EC59E6"/>
    <w:multiLevelType w:val="hybridMultilevel"/>
    <w:tmpl w:val="4832F9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691150"/>
    <w:multiLevelType w:val="multilevel"/>
    <w:tmpl w:val="AC0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84CD8"/>
    <w:multiLevelType w:val="multilevel"/>
    <w:tmpl w:val="6BCE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AE23C3"/>
    <w:rsid w:val="00AE23C3"/>
    <w:rsid w:val="00F8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23C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paragraph" w:styleId="3">
    <w:name w:val="heading 3"/>
    <w:basedOn w:val="a1"/>
    <w:link w:val="30"/>
    <w:uiPriority w:val="9"/>
    <w:qFormat/>
    <w:rsid w:val="00AE23C3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AE23C3"/>
    <w:pPr>
      <w:ind w:left="720"/>
      <w:contextualSpacing/>
    </w:pPr>
    <w:rPr>
      <w:rFonts w:cs="Mangal"/>
      <w:szCs w:val="21"/>
    </w:rPr>
  </w:style>
  <w:style w:type="character" w:customStyle="1" w:styleId="30">
    <w:name w:val="Заголовок 3 Знак"/>
    <w:basedOn w:val="a2"/>
    <w:link w:val="3"/>
    <w:uiPriority w:val="9"/>
    <w:rsid w:val="00AE23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2"/>
    <w:uiPriority w:val="22"/>
    <w:qFormat/>
    <w:rsid w:val="00AE23C3"/>
    <w:rPr>
      <w:b/>
      <w:bCs/>
    </w:rPr>
  </w:style>
  <w:style w:type="table" w:styleId="a7">
    <w:name w:val="Table Grid"/>
    <w:basedOn w:val="a3"/>
    <w:uiPriority w:val="59"/>
    <w:rsid w:val="00AE2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99"/>
    <w:unhideWhenUsed/>
    <w:rsid w:val="00F83806"/>
    <w:pPr>
      <w:widowControl/>
      <w:numPr>
        <w:numId w:val="6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  <w:style w:type="paragraph" w:styleId="a">
    <w:name w:val="List Number"/>
    <w:basedOn w:val="a1"/>
    <w:uiPriority w:val="99"/>
    <w:unhideWhenUsed/>
    <w:rsid w:val="00F83806"/>
    <w:pPr>
      <w:widowControl/>
      <w:numPr>
        <w:numId w:val="7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2025-04-09T13:52:00Z</dcterms:created>
  <dcterms:modified xsi:type="dcterms:W3CDTF">2025-04-09T14:08:00Z</dcterms:modified>
</cp:coreProperties>
</file>