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21" w:rsidRPr="006E1321" w:rsidRDefault="006E1321" w:rsidP="006E132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E13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Питання до заліку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Зародження фінансової інтеграції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Створення Європейського валютного союзу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Заснування Європейського центрального банку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Основні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договори 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ЄС</w:t>
      </w:r>
      <w:r w:rsidRPr="006E13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Фінансов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криз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 2008 р.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ї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ї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вплив на інтеграцію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hAnsi="Times New Roman" w:cs="Times New Roman"/>
          <w:sz w:val="28"/>
          <w:szCs w:val="28"/>
        </w:rPr>
        <w:t>Основні принципи побудови бюджетної системи ЄС.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hAnsi="Times New Roman" w:cs="Times New Roman"/>
          <w:sz w:val="28"/>
          <w:szCs w:val="28"/>
        </w:rPr>
        <w:t>Джерела доходів бюджету ЄС.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hAnsi="Times New Roman" w:cs="Times New Roman"/>
          <w:sz w:val="28"/>
          <w:szCs w:val="28"/>
        </w:rPr>
        <w:t>Структура та основні напрямки витрат бюджету ЄС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hAnsi="Times New Roman" w:cs="Times New Roman"/>
          <w:sz w:val="28"/>
          <w:szCs w:val="28"/>
        </w:rPr>
        <w:t>Багаторічна фінансова перспектива ЄС: фінансове планування на середньостроковий період.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321">
        <w:rPr>
          <w:rFonts w:ascii="Times New Roman" w:hAnsi="Times New Roman" w:cs="Times New Roman"/>
          <w:sz w:val="28"/>
          <w:szCs w:val="28"/>
        </w:rPr>
        <w:t>Вплив бюджету ЄС на економіку країн-членів.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321">
        <w:rPr>
          <w:rFonts w:ascii="Times New Roman" w:hAnsi="Times New Roman" w:cs="Times New Roman"/>
          <w:sz w:val="28"/>
          <w:szCs w:val="28"/>
        </w:rPr>
        <w:t>Фінансов</w:t>
      </w:r>
      <w:r w:rsidRPr="006E132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E1321">
        <w:rPr>
          <w:rFonts w:ascii="Times New Roman" w:hAnsi="Times New Roman" w:cs="Times New Roman"/>
          <w:sz w:val="28"/>
          <w:szCs w:val="28"/>
        </w:rPr>
        <w:t xml:space="preserve"> ринк</w:t>
      </w:r>
      <w:r w:rsidRPr="006E132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E1321">
        <w:rPr>
          <w:rFonts w:ascii="Times New Roman" w:hAnsi="Times New Roman" w:cs="Times New Roman"/>
          <w:sz w:val="28"/>
          <w:szCs w:val="28"/>
        </w:rPr>
        <w:t xml:space="preserve"> у ЄС та їх структура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321">
        <w:rPr>
          <w:rFonts w:ascii="Times New Roman" w:hAnsi="Times New Roman" w:cs="Times New Roman"/>
          <w:sz w:val="28"/>
          <w:szCs w:val="28"/>
        </w:rPr>
        <w:t>Регуляція та інститути нагляду за фінансовими ринками у ЄС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321">
        <w:rPr>
          <w:rFonts w:ascii="Times New Roman" w:hAnsi="Times New Roman" w:cs="Times New Roman"/>
          <w:sz w:val="28"/>
          <w:szCs w:val="28"/>
        </w:rPr>
        <w:t>Основні нормативні акти та директиви ЄС щодо фінансових ринків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321">
        <w:rPr>
          <w:rFonts w:ascii="Times New Roman" w:hAnsi="Times New Roman" w:cs="Times New Roman"/>
          <w:sz w:val="28"/>
          <w:szCs w:val="28"/>
        </w:rPr>
        <w:t>Європейський банківський союз та механізми регуляції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Створення єврозони та роль євро в економічній інтеграції ЄС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труктура, функції та завдання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Європейськ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ого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центральн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ого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банк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 xml:space="preserve"> (ЄЦБ)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Інструменти монетарної політики ЄЦБ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Монетарна політика ЄЦБ в умовах економічної нестабільності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Фінансова стабільність в ЄС: значення та основні фактори впливу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Європейський стабілізаційний механізм (ESM) та його роль у кризових ситуаціях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Європейська система фінансового нагляду (ESFS) та структура єдиного нагляду за банками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bCs/>
          <w:sz w:val="28"/>
          <w:szCs w:val="28"/>
        </w:rPr>
        <w:t>Інструменти антикризової підтримки: стрес-тести та оцінка ризиків</w:t>
      </w:r>
      <w:r w:rsidRPr="006E1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4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hAnsi="Times New Roman" w:cs="Times New Roman"/>
          <w:sz w:val="28"/>
          <w:szCs w:val="28"/>
        </w:rPr>
        <w:t>Європейський інвестиційний банк</w:t>
      </w:r>
      <w:r w:rsidRPr="006E1321">
        <w:rPr>
          <w:rFonts w:ascii="Times New Roman" w:hAnsi="Times New Roman" w:cs="Times New Roman"/>
          <w:sz w:val="28"/>
          <w:szCs w:val="28"/>
        </w:rPr>
        <w:t xml:space="preserve">: його роль у фінансуванні інфраструктурних проєктів. 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4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hAnsi="Times New Roman" w:cs="Times New Roman"/>
          <w:sz w:val="28"/>
          <w:szCs w:val="28"/>
        </w:rPr>
        <w:t>Європейсь</w:t>
      </w:r>
      <w:r w:rsidRPr="006E1321">
        <w:rPr>
          <w:rFonts w:ascii="Times New Roman" w:hAnsi="Times New Roman" w:cs="Times New Roman"/>
          <w:sz w:val="28"/>
          <w:szCs w:val="28"/>
        </w:rPr>
        <w:t>кий фонд регіонального розвитку</w:t>
      </w:r>
      <w:r w:rsidRPr="006E1321">
        <w:rPr>
          <w:rFonts w:ascii="Times New Roman" w:hAnsi="Times New Roman" w:cs="Times New Roman"/>
          <w:sz w:val="28"/>
          <w:szCs w:val="28"/>
        </w:rPr>
        <w:t xml:space="preserve">: фінансування розвитку регіонів. 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4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hAnsi="Times New Roman" w:cs="Times New Roman"/>
          <w:sz w:val="28"/>
          <w:szCs w:val="28"/>
        </w:rPr>
        <w:t>Роль Європейського фонду стратегічних інвестицій  у залученні приватних інвестицій.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4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 xml:space="preserve">Основні принципи гармонізації податкових систем країн ЄС. 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4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 xml:space="preserve">Податок на додану вартість: особливості функціонування та роль у формуванні доходів бюджету. 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4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>Екологічне оподаткування в ЄС: види податків і їхня роль у стимулюванні сталого розвитку.</w:t>
      </w:r>
    </w:p>
    <w:p w:rsidR="006E1321" w:rsidRPr="006E1321" w:rsidRDefault="006E1321" w:rsidP="006E1321">
      <w:pPr>
        <w:pStyle w:val="a3"/>
        <w:numPr>
          <w:ilvl w:val="0"/>
          <w:numId w:val="10"/>
        </w:numPr>
        <w:tabs>
          <w:tab w:val="left" w:pos="6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Основні фондові біржі ЄС</w:t>
      </w:r>
      <w:r w:rsidRPr="006E13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E1321" w:rsidRPr="006E1321" w:rsidRDefault="006E1321" w:rsidP="006E1321">
      <w:pPr>
        <w:pStyle w:val="a3"/>
        <w:numPr>
          <w:ilvl w:val="0"/>
          <w:numId w:val="10"/>
        </w:numPr>
        <w:tabs>
          <w:tab w:val="left" w:pos="6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 xml:space="preserve">Інструменти фондового ринку: акції, облігації, похідні фінансові інструменти. </w:t>
      </w:r>
    </w:p>
    <w:p w:rsidR="006E1321" w:rsidRPr="006E1321" w:rsidRDefault="006E1321" w:rsidP="006E1321">
      <w:pPr>
        <w:pStyle w:val="a3"/>
        <w:numPr>
          <w:ilvl w:val="0"/>
          <w:numId w:val="10"/>
        </w:numPr>
        <w:tabs>
          <w:tab w:val="left" w:pos="6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>Регуляторна політика ЄС на фондових ринках: директиви MiFID II та їх вплив на прозорість і стабільність.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hAnsi="Times New Roman" w:cs="Times New Roman"/>
          <w:sz w:val="28"/>
          <w:szCs w:val="28"/>
        </w:rPr>
        <w:t>Еволюція монетарної політики ЄЦБ: від традиційних інструментів до кількісного пом’якшення.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6E1321">
        <w:rPr>
          <w:rFonts w:ascii="Times New Roman" w:hAnsi="Times New Roman" w:cs="Times New Roman"/>
          <w:sz w:val="28"/>
          <w:szCs w:val="28"/>
        </w:rPr>
        <w:t>Вплив монетарної політики ЄЦБ на країни Центральної та Східної Європи - учасниць та кандидатів на вступ до єврозони.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6E1321">
        <w:rPr>
          <w:rFonts w:ascii="Times New Roman" w:hAnsi="Times New Roman" w:cs="Times New Roman"/>
          <w:sz w:val="28"/>
          <w:szCs w:val="28"/>
        </w:rPr>
        <w:t>Перспективи цифрового євро та його вплив на монетарну політику в майбутньому.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4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 xml:space="preserve">Взаємодія ЄС із міжнародними фінансовими організаціями: МВФ, Світовим банком, BIS. 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4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 xml:space="preserve">Роль ЄС у формуванні глобальних фінансових стандартів, включаючи Базельські угоди. </w:t>
      </w:r>
    </w:p>
    <w:p w:rsidR="006E1321" w:rsidRPr="006E1321" w:rsidRDefault="006E1321" w:rsidP="006E1321">
      <w:pPr>
        <w:pStyle w:val="a3"/>
        <w:widowControl w:val="0"/>
        <w:numPr>
          <w:ilvl w:val="0"/>
          <w:numId w:val="10"/>
        </w:numPr>
        <w:tabs>
          <w:tab w:val="left" w:pos="4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>Участь ЄС у боротьбі з глобальними фінансовими ризиками та формуванні стабільності.</w:t>
      </w:r>
    </w:p>
    <w:p w:rsidR="006E1321" w:rsidRPr="006E1321" w:rsidRDefault="006E1321" w:rsidP="006E1321">
      <w:pPr>
        <w:pStyle w:val="a3"/>
        <w:numPr>
          <w:ilvl w:val="0"/>
          <w:numId w:val="10"/>
        </w:numPr>
        <w:tabs>
          <w:tab w:val="left" w:pos="4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>Використання «зелених» облігацій для фінансування екологічних ініціатив.</w:t>
      </w:r>
    </w:p>
    <w:p w:rsidR="006E1321" w:rsidRPr="006E1321" w:rsidRDefault="006E1321" w:rsidP="006E1321">
      <w:pPr>
        <w:pStyle w:val="a3"/>
        <w:numPr>
          <w:ilvl w:val="0"/>
          <w:numId w:val="10"/>
        </w:numPr>
        <w:tabs>
          <w:tab w:val="left" w:pos="4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21">
        <w:rPr>
          <w:rFonts w:ascii="Times New Roman" w:eastAsia="Times New Roman" w:hAnsi="Times New Roman" w:cs="Times New Roman"/>
          <w:sz w:val="28"/>
          <w:szCs w:val="28"/>
        </w:rPr>
        <w:t>Фінансові інструменти сталого розвитку: участь Європейського інвестиційного банку.</w:t>
      </w:r>
    </w:p>
    <w:p w:rsidR="006E1321" w:rsidRPr="006E1321" w:rsidRDefault="006E1321" w:rsidP="006E1321">
      <w:pPr>
        <w:pStyle w:val="a3"/>
        <w:tabs>
          <w:tab w:val="left" w:pos="6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1321" w:rsidRPr="006E1321" w:rsidRDefault="006E1321" w:rsidP="006E1321">
      <w:pPr>
        <w:pStyle w:val="a3"/>
        <w:widowControl w:val="0"/>
        <w:tabs>
          <w:tab w:val="left" w:pos="4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321" w:rsidRPr="006E1321" w:rsidRDefault="006E1321" w:rsidP="006E132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321" w:rsidRPr="006E1321" w:rsidRDefault="006E1321" w:rsidP="006E1321">
      <w:pPr>
        <w:pStyle w:val="a3"/>
        <w:widowControl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592" w:rsidRPr="006E1321" w:rsidRDefault="00765592" w:rsidP="006E1321">
      <w:pPr>
        <w:spacing w:after="0"/>
        <w:ind w:firstLine="709"/>
        <w:jc w:val="both"/>
        <w:rPr>
          <w:sz w:val="28"/>
          <w:szCs w:val="28"/>
        </w:rPr>
      </w:pPr>
    </w:p>
    <w:sectPr w:rsidR="00765592" w:rsidRPr="006E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E67"/>
    <w:multiLevelType w:val="hybridMultilevel"/>
    <w:tmpl w:val="B8B45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239EA"/>
    <w:multiLevelType w:val="hybridMultilevel"/>
    <w:tmpl w:val="5ED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D54AB"/>
    <w:multiLevelType w:val="hybridMultilevel"/>
    <w:tmpl w:val="1630822A"/>
    <w:lvl w:ilvl="0" w:tplc="003C3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837FA"/>
    <w:multiLevelType w:val="hybridMultilevel"/>
    <w:tmpl w:val="995A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62C4D"/>
    <w:multiLevelType w:val="hybridMultilevel"/>
    <w:tmpl w:val="95126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2321CC"/>
    <w:multiLevelType w:val="hybridMultilevel"/>
    <w:tmpl w:val="6F36E7CE"/>
    <w:lvl w:ilvl="0" w:tplc="8B64F60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2EA16BE"/>
    <w:multiLevelType w:val="hybridMultilevel"/>
    <w:tmpl w:val="D7821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B71FE"/>
    <w:multiLevelType w:val="hybridMultilevel"/>
    <w:tmpl w:val="DD549D4C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8">
    <w:nsid w:val="632418CE"/>
    <w:multiLevelType w:val="hybridMultilevel"/>
    <w:tmpl w:val="0CB605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9166B"/>
    <w:multiLevelType w:val="hybridMultilevel"/>
    <w:tmpl w:val="BE566482"/>
    <w:lvl w:ilvl="0" w:tplc="2DA6B9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6E1321"/>
    <w:rsid w:val="006E1321"/>
    <w:rsid w:val="0076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2025-04-09T14:56:00Z</dcterms:created>
  <dcterms:modified xsi:type="dcterms:W3CDTF">2025-04-09T15:01:00Z</dcterms:modified>
</cp:coreProperties>
</file>