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50" w:rsidRPr="00615C0C" w:rsidRDefault="009C6850" w:rsidP="009C6850">
      <w:pPr>
        <w:spacing w:after="0" w:line="360" w:lineRule="auto"/>
        <w:jc w:val="center"/>
        <w:rPr>
          <w:rFonts w:ascii="Times New Roman" w:hAnsi="Times New Roman" w:cs="Times New Roman"/>
          <w:b/>
          <w:color w:val="2E74B5" w:themeColor="accent1" w:themeShade="BF"/>
          <w:sz w:val="28"/>
          <w:szCs w:val="28"/>
          <w:lang w:val="uk-UA"/>
        </w:rPr>
      </w:pPr>
      <w:r w:rsidRPr="00615C0C">
        <w:rPr>
          <w:rFonts w:ascii="Times New Roman" w:hAnsi="Times New Roman" w:cs="Times New Roman"/>
          <w:b/>
          <w:color w:val="2E74B5" w:themeColor="accent1" w:themeShade="BF"/>
          <w:sz w:val="28"/>
          <w:szCs w:val="28"/>
          <w:lang w:val="uk-UA"/>
        </w:rPr>
        <w:t>ТЕМА 3. СУТНІСТЬ, СКЛАД, ПОРЯДОК ФОРМУВАННЯ СТРАХОВИХ РЕЗЕРВІВ. РОЗМІЩЕННЯ СТРАХОВИХ РЕЗЕРВІВ</w:t>
      </w:r>
    </w:p>
    <w:p w:rsidR="009C6850" w:rsidRPr="009C6850" w:rsidRDefault="009C6850" w:rsidP="009C6850">
      <w:pPr>
        <w:spacing w:after="0" w:line="360" w:lineRule="auto"/>
        <w:jc w:val="center"/>
        <w:rPr>
          <w:rFonts w:ascii="Times New Roman" w:hAnsi="Times New Roman" w:cs="Times New Roman"/>
          <w:b/>
          <w:sz w:val="28"/>
          <w:szCs w:val="28"/>
          <w:lang w:val="uk-UA"/>
        </w:rPr>
      </w:pPr>
      <w:r w:rsidRPr="009C6850">
        <w:rPr>
          <w:rFonts w:ascii="Times New Roman" w:hAnsi="Times New Roman" w:cs="Times New Roman"/>
          <w:b/>
          <w:sz w:val="28"/>
          <w:szCs w:val="28"/>
          <w:lang w:val="uk-UA"/>
        </w:rPr>
        <w:t>ЛЕКЦІЯ 2</w:t>
      </w:r>
    </w:p>
    <w:p w:rsidR="009C6850" w:rsidRPr="00537F46" w:rsidRDefault="009C6850" w:rsidP="009C6850">
      <w:pPr>
        <w:spacing w:after="0" w:line="360" w:lineRule="auto"/>
        <w:jc w:val="center"/>
        <w:rPr>
          <w:rFonts w:ascii="Times New Roman" w:hAnsi="Times New Roman" w:cs="Times New Roman"/>
          <w:sz w:val="28"/>
          <w:szCs w:val="28"/>
          <w:lang w:val="uk-UA"/>
        </w:rPr>
      </w:pPr>
      <w:r w:rsidRPr="00537F46">
        <w:rPr>
          <w:rFonts w:ascii="Times New Roman" w:hAnsi="Times New Roman" w:cs="Times New Roman"/>
          <w:sz w:val="28"/>
          <w:szCs w:val="28"/>
          <w:lang w:val="uk-UA"/>
        </w:rPr>
        <w:t>ПЛАН:</w:t>
      </w:r>
    </w:p>
    <w:p w:rsidR="009C6850" w:rsidRPr="00537F46" w:rsidRDefault="009C6850" w:rsidP="009C6850">
      <w:pPr>
        <w:spacing w:after="0" w:line="360" w:lineRule="auto"/>
        <w:jc w:val="both"/>
        <w:rPr>
          <w:rFonts w:ascii="Times New Roman" w:hAnsi="Times New Roman" w:cs="Times New Roman"/>
          <w:sz w:val="28"/>
          <w:szCs w:val="28"/>
          <w:lang w:val="uk-UA"/>
        </w:rPr>
      </w:pPr>
      <w:r w:rsidRPr="00537F46">
        <w:rPr>
          <w:rFonts w:ascii="Times New Roman" w:hAnsi="Times New Roman" w:cs="Times New Roman"/>
          <w:sz w:val="28"/>
          <w:szCs w:val="28"/>
          <w:lang w:val="uk-UA"/>
        </w:rPr>
        <w:t>3.2.</w:t>
      </w:r>
      <w:r>
        <w:rPr>
          <w:rFonts w:ascii="Times New Roman" w:hAnsi="Times New Roman" w:cs="Times New Roman"/>
          <w:sz w:val="28"/>
          <w:szCs w:val="28"/>
          <w:lang w:val="uk-UA"/>
        </w:rPr>
        <w:t>2</w:t>
      </w:r>
      <w:r w:rsidRPr="00537F46">
        <w:rPr>
          <w:rFonts w:ascii="Times New Roman" w:hAnsi="Times New Roman" w:cs="Times New Roman"/>
          <w:sz w:val="28"/>
          <w:szCs w:val="28"/>
          <w:lang w:val="uk-UA"/>
        </w:rPr>
        <w:t xml:space="preserve"> Формування резервів зі страхування життя </w:t>
      </w:r>
    </w:p>
    <w:p w:rsidR="009C6850" w:rsidRPr="00537F46" w:rsidRDefault="009C6850" w:rsidP="009C6850">
      <w:pPr>
        <w:spacing w:after="0" w:line="360" w:lineRule="auto"/>
        <w:jc w:val="both"/>
        <w:rPr>
          <w:rFonts w:ascii="Times New Roman" w:hAnsi="Times New Roman" w:cs="Times New Roman"/>
          <w:sz w:val="28"/>
          <w:szCs w:val="28"/>
          <w:lang w:val="uk-UA"/>
        </w:rPr>
      </w:pPr>
      <w:r w:rsidRPr="00537F46">
        <w:rPr>
          <w:rFonts w:ascii="Times New Roman" w:hAnsi="Times New Roman" w:cs="Times New Roman"/>
          <w:sz w:val="28"/>
          <w:szCs w:val="28"/>
          <w:lang w:val="uk-UA"/>
        </w:rPr>
        <w:t>3.3 Розміщення страхових резервів</w:t>
      </w:r>
    </w:p>
    <w:p w:rsidR="009C6850" w:rsidRDefault="009C6850" w:rsidP="009C6850">
      <w:pPr>
        <w:spacing w:line="360" w:lineRule="auto"/>
        <w:jc w:val="both"/>
        <w:rPr>
          <w:lang w:val="ru-RU"/>
        </w:rPr>
      </w:pPr>
    </w:p>
    <w:p w:rsidR="009C6850" w:rsidRPr="00C3327D" w:rsidRDefault="00C3327D" w:rsidP="00C3327D">
      <w:pPr>
        <w:pStyle w:val="Default"/>
        <w:spacing w:line="360" w:lineRule="auto"/>
        <w:ind w:firstLine="709"/>
        <w:jc w:val="both"/>
        <w:rPr>
          <w:b/>
          <w:sz w:val="28"/>
          <w:szCs w:val="28"/>
        </w:rPr>
      </w:pPr>
      <w:r w:rsidRPr="00C3327D">
        <w:rPr>
          <w:b/>
          <w:sz w:val="28"/>
          <w:szCs w:val="28"/>
        </w:rPr>
        <w:t>3.2.2 Формування резервів зі страхування життя</w:t>
      </w:r>
    </w:p>
    <w:p w:rsidR="009C6850" w:rsidRPr="00C3327D" w:rsidRDefault="009C6850" w:rsidP="00C3327D">
      <w:pPr>
        <w:pStyle w:val="Default"/>
        <w:spacing w:line="360" w:lineRule="auto"/>
        <w:ind w:firstLine="709"/>
        <w:jc w:val="both"/>
        <w:rPr>
          <w:sz w:val="28"/>
          <w:szCs w:val="28"/>
        </w:rPr>
      </w:pPr>
      <w:r w:rsidRPr="00C3327D">
        <w:rPr>
          <w:b/>
          <w:sz w:val="28"/>
          <w:szCs w:val="28"/>
        </w:rPr>
        <w:t>Страхування життя</w:t>
      </w:r>
      <w:r w:rsidRPr="00C3327D">
        <w:rPr>
          <w:sz w:val="28"/>
          <w:szCs w:val="28"/>
        </w:rPr>
        <w:t xml:space="preserve"> – це вид особистого страхування, який передбачає обов'язок страховика здійснити страхову виплату згідно з договором страхування у разі смерті застрахованої особи, а також, якщо це передбачено договором, у разі дожиття застрахованої особи до закінчення строку дії договору страхування та (або) досягнення застрахованою особою визначеного договором віку</w:t>
      </w:r>
      <w:r w:rsidR="00C3327D">
        <w:rPr>
          <w:sz w:val="28"/>
          <w:szCs w:val="28"/>
        </w:rPr>
        <w:t>.</w:t>
      </w:r>
      <w:r w:rsidRPr="00C3327D">
        <w:rPr>
          <w:sz w:val="28"/>
          <w:szCs w:val="28"/>
        </w:rPr>
        <w:t xml:space="preserve"> </w:t>
      </w:r>
    </w:p>
    <w:p w:rsidR="009C6850" w:rsidRPr="00C3327D" w:rsidRDefault="009C6850" w:rsidP="00C3327D">
      <w:pPr>
        <w:pStyle w:val="Default"/>
        <w:spacing w:line="360" w:lineRule="auto"/>
        <w:ind w:firstLine="709"/>
        <w:jc w:val="both"/>
        <w:rPr>
          <w:sz w:val="28"/>
          <w:szCs w:val="28"/>
        </w:rPr>
      </w:pPr>
      <w:r w:rsidRPr="00C3327D">
        <w:rPr>
          <w:sz w:val="28"/>
          <w:szCs w:val="28"/>
        </w:rPr>
        <w:t xml:space="preserve">Умови договору страхування життя можуть також передбачати обов'язок страховика здійснити страхову виплату у разі нещасного випадку, що стався із застрахованою особою, та (або) хвороби застрахованої особи. </w:t>
      </w:r>
    </w:p>
    <w:p w:rsidR="009C6850" w:rsidRPr="00C3327D" w:rsidRDefault="009C6850" w:rsidP="00C3327D">
      <w:pPr>
        <w:pStyle w:val="Default"/>
        <w:spacing w:line="360" w:lineRule="auto"/>
        <w:ind w:firstLine="709"/>
        <w:jc w:val="both"/>
        <w:rPr>
          <w:sz w:val="28"/>
          <w:szCs w:val="28"/>
        </w:rPr>
      </w:pPr>
      <w:r w:rsidRPr="00C3327D">
        <w:rPr>
          <w:sz w:val="28"/>
          <w:szCs w:val="28"/>
        </w:rPr>
        <w:t>Якщо при настанні страхового випадку передбачено регулярні послідовні довічні страхові виплати (страхування довічної пенсії), обов'язковим є передбачення у договорі страхування ризику смерті застрахованої особи протягом періоду між початком дії договору страхування та першою страховою виплатою з числа довічних страхових виплат. В інших випадках передбачення ризику смерті застрахованої особи є обов'язковим протягом всього строку дії договору страхування життя</w:t>
      </w:r>
      <w:r w:rsidR="00C3327D">
        <w:rPr>
          <w:sz w:val="28"/>
          <w:szCs w:val="28"/>
        </w:rPr>
        <w:t>.</w:t>
      </w:r>
      <w:r w:rsidRPr="00C3327D">
        <w:rPr>
          <w:sz w:val="28"/>
          <w:szCs w:val="28"/>
        </w:rPr>
        <w:t xml:space="preserve"> </w:t>
      </w:r>
    </w:p>
    <w:p w:rsidR="009C6850" w:rsidRPr="00C3327D" w:rsidRDefault="009C6850" w:rsidP="00C3327D">
      <w:pPr>
        <w:pStyle w:val="Default"/>
        <w:spacing w:line="360" w:lineRule="auto"/>
        <w:ind w:firstLine="709"/>
        <w:jc w:val="both"/>
        <w:rPr>
          <w:sz w:val="28"/>
          <w:szCs w:val="28"/>
        </w:rPr>
      </w:pPr>
      <w:r w:rsidRPr="00C3327D">
        <w:rPr>
          <w:sz w:val="28"/>
          <w:szCs w:val="28"/>
        </w:rPr>
        <w:t xml:space="preserve">Страхові компанії, які здійснюють страхування життя, для забезпечення своєї діяльності формують резерви зі страхування життя. </w:t>
      </w:r>
    </w:p>
    <w:p w:rsidR="009C6850" w:rsidRPr="00C3327D" w:rsidRDefault="009C6850" w:rsidP="00C3327D">
      <w:pPr>
        <w:pStyle w:val="Default"/>
        <w:spacing w:line="360" w:lineRule="auto"/>
        <w:ind w:firstLine="709"/>
        <w:jc w:val="both"/>
        <w:rPr>
          <w:sz w:val="28"/>
          <w:szCs w:val="28"/>
        </w:rPr>
      </w:pPr>
      <w:r w:rsidRPr="00C3327D">
        <w:rPr>
          <w:sz w:val="28"/>
          <w:szCs w:val="28"/>
        </w:rPr>
        <w:t xml:space="preserve">Страхові резерви із страхування життя </w:t>
      </w:r>
      <w:r w:rsidRPr="006412F3">
        <w:rPr>
          <w:i/>
          <w:sz w:val="28"/>
          <w:szCs w:val="28"/>
        </w:rPr>
        <w:t>є оцінкою вартості грошових зобов'язань</w:t>
      </w:r>
      <w:r w:rsidRPr="00C3327D">
        <w:rPr>
          <w:sz w:val="28"/>
          <w:szCs w:val="28"/>
        </w:rPr>
        <w:t xml:space="preserve"> страховика за договорами та майбутніх витрат для забезпечення їх виконання. </w:t>
      </w:r>
    </w:p>
    <w:p w:rsidR="006412F3" w:rsidRDefault="009C6850" w:rsidP="00C3327D">
      <w:pPr>
        <w:pStyle w:val="Default"/>
        <w:spacing w:line="360" w:lineRule="auto"/>
        <w:ind w:firstLine="709"/>
        <w:jc w:val="both"/>
        <w:rPr>
          <w:sz w:val="28"/>
          <w:szCs w:val="28"/>
        </w:rPr>
      </w:pPr>
      <w:r w:rsidRPr="00C3327D">
        <w:rPr>
          <w:sz w:val="28"/>
          <w:szCs w:val="28"/>
        </w:rPr>
        <w:t xml:space="preserve">Страхові резерви із страхування життя поділяються на: </w:t>
      </w:r>
    </w:p>
    <w:p w:rsidR="006412F3" w:rsidRDefault="009C6850" w:rsidP="006412F3">
      <w:pPr>
        <w:pStyle w:val="Default"/>
        <w:numPr>
          <w:ilvl w:val="0"/>
          <w:numId w:val="8"/>
        </w:numPr>
        <w:spacing w:line="360" w:lineRule="auto"/>
        <w:jc w:val="both"/>
        <w:rPr>
          <w:sz w:val="28"/>
          <w:szCs w:val="28"/>
        </w:rPr>
      </w:pPr>
      <w:r w:rsidRPr="00C3327D">
        <w:rPr>
          <w:sz w:val="28"/>
          <w:szCs w:val="28"/>
        </w:rPr>
        <w:t>резерви довгострокових зобов'язань (математичні резерви);</w:t>
      </w:r>
    </w:p>
    <w:p w:rsidR="009C6850" w:rsidRPr="00C3327D" w:rsidRDefault="009C6850" w:rsidP="006412F3">
      <w:pPr>
        <w:pStyle w:val="Default"/>
        <w:numPr>
          <w:ilvl w:val="0"/>
          <w:numId w:val="8"/>
        </w:numPr>
        <w:spacing w:line="360" w:lineRule="auto"/>
        <w:jc w:val="both"/>
        <w:rPr>
          <w:sz w:val="28"/>
          <w:szCs w:val="28"/>
        </w:rPr>
      </w:pPr>
      <w:r w:rsidRPr="00C3327D">
        <w:rPr>
          <w:sz w:val="28"/>
          <w:szCs w:val="28"/>
        </w:rPr>
        <w:t xml:space="preserve"> резерви належних виплат страхових сум (див. рис. 3.</w:t>
      </w:r>
      <w:r w:rsidR="001E7C2A">
        <w:rPr>
          <w:sz w:val="28"/>
          <w:szCs w:val="28"/>
        </w:rPr>
        <w:t>2.</w:t>
      </w:r>
      <w:r w:rsidRPr="00C3327D">
        <w:rPr>
          <w:sz w:val="28"/>
          <w:szCs w:val="28"/>
        </w:rPr>
        <w:t xml:space="preserve">1). </w:t>
      </w:r>
    </w:p>
    <w:p w:rsidR="009C6850" w:rsidRPr="00C3327D" w:rsidRDefault="009C6850" w:rsidP="00C3327D">
      <w:pPr>
        <w:pStyle w:val="Default"/>
        <w:spacing w:line="360" w:lineRule="auto"/>
        <w:ind w:firstLine="709"/>
        <w:jc w:val="both"/>
        <w:rPr>
          <w:color w:val="auto"/>
          <w:sz w:val="28"/>
          <w:szCs w:val="28"/>
        </w:rPr>
      </w:pPr>
    </w:p>
    <w:p w:rsidR="001E7C2A" w:rsidRDefault="001E7C2A" w:rsidP="006412F3">
      <w:pPr>
        <w:pStyle w:val="Default"/>
        <w:pageBreakBefore/>
        <w:spacing w:line="360" w:lineRule="auto"/>
        <w:ind w:firstLine="1134"/>
        <w:jc w:val="both"/>
        <w:rPr>
          <w:color w:val="auto"/>
          <w:sz w:val="28"/>
          <w:szCs w:val="28"/>
        </w:rPr>
      </w:pPr>
      <w:r w:rsidRPr="001E7C2A">
        <w:rPr>
          <w:noProof/>
          <w:color w:val="auto"/>
          <w:sz w:val="28"/>
          <w:szCs w:val="28"/>
          <w:lang w:eastAsia="uk-UA"/>
        </w:rPr>
        <w:lastRenderedPageBreak/>
        <w:drawing>
          <wp:inline distT="0" distB="0" distL="0" distR="0">
            <wp:extent cx="5045448" cy="35434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7290" cy="3544694"/>
                    </a:xfrm>
                    <a:prstGeom prst="rect">
                      <a:avLst/>
                    </a:prstGeom>
                    <a:noFill/>
                    <a:ln>
                      <a:noFill/>
                    </a:ln>
                  </pic:spPr>
                </pic:pic>
              </a:graphicData>
            </a:graphic>
          </wp:inline>
        </w:drawing>
      </w:r>
    </w:p>
    <w:p w:rsidR="00751B33" w:rsidRDefault="001E7C2A" w:rsidP="001E7C2A">
      <w:pPr>
        <w:rPr>
          <w:rFonts w:ascii="Times New Roman" w:hAnsi="Times New Roman" w:cs="Times New Roman"/>
          <w:b/>
          <w:sz w:val="28"/>
          <w:szCs w:val="28"/>
          <w:lang w:val="uk-UA"/>
        </w:rPr>
      </w:pPr>
      <w:r>
        <w:rPr>
          <w:lang w:val="uk-UA"/>
        </w:rPr>
        <w:tab/>
        <w:t xml:space="preserve">                </w:t>
      </w:r>
      <w:r w:rsidRPr="001E7C2A">
        <w:rPr>
          <w:rFonts w:ascii="Times New Roman" w:hAnsi="Times New Roman" w:cs="Times New Roman"/>
          <w:b/>
          <w:sz w:val="28"/>
          <w:szCs w:val="28"/>
          <w:lang w:val="uk-UA"/>
        </w:rPr>
        <w:t>Рис. 3.2.1. Система страхових резервів із страхування життя</w:t>
      </w:r>
    </w:p>
    <w:p w:rsidR="00751B33" w:rsidRDefault="00751B33" w:rsidP="00751B33">
      <w:pPr>
        <w:spacing w:after="0" w:line="360" w:lineRule="auto"/>
        <w:ind w:firstLine="709"/>
        <w:jc w:val="both"/>
        <w:rPr>
          <w:rFonts w:ascii="Times New Roman" w:hAnsi="Times New Roman" w:cs="Times New Roman"/>
          <w:sz w:val="28"/>
          <w:szCs w:val="28"/>
          <w:lang w:val="uk-UA"/>
        </w:rPr>
      </w:pPr>
    </w:p>
    <w:p w:rsidR="009C6850" w:rsidRDefault="00751B33" w:rsidP="00751B33">
      <w:pPr>
        <w:tabs>
          <w:tab w:val="left" w:pos="97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t>С</w:t>
      </w:r>
      <w:r w:rsidR="009C6850" w:rsidRPr="00C3327D">
        <w:rPr>
          <w:rFonts w:ascii="Times New Roman" w:hAnsi="Times New Roman" w:cs="Times New Roman"/>
          <w:sz w:val="28"/>
          <w:szCs w:val="28"/>
          <w:lang w:val="uk-UA"/>
        </w:rPr>
        <w:t xml:space="preserve">клад та порядок формування страхових резервів із страхування життя в Україні регламентується нормативно-правовими актами. </w:t>
      </w:r>
    </w:p>
    <w:p w:rsidR="00751B33" w:rsidRDefault="00751B33" w:rsidP="00751B33">
      <w:pPr>
        <w:tabs>
          <w:tab w:val="left" w:pos="973"/>
        </w:tabs>
        <w:spacing w:after="0" w:line="360" w:lineRule="auto"/>
        <w:ind w:firstLine="709"/>
        <w:jc w:val="both"/>
        <w:rPr>
          <w:rFonts w:ascii="Times New Roman" w:hAnsi="Times New Roman" w:cs="Times New Roman"/>
          <w:sz w:val="28"/>
          <w:szCs w:val="28"/>
          <w:lang w:val="uk-UA"/>
        </w:rPr>
      </w:pPr>
      <w:r w:rsidRPr="00751B33">
        <w:rPr>
          <w:rFonts w:ascii="Times New Roman" w:hAnsi="Times New Roman" w:cs="Times New Roman"/>
          <w:sz w:val="28"/>
          <w:szCs w:val="28"/>
          <w:lang w:val="uk-UA"/>
        </w:rPr>
        <w:t>Законодавчі акти України з регулювання процесу формування</w:t>
      </w:r>
      <w:r>
        <w:rPr>
          <w:rFonts w:ascii="Times New Roman" w:hAnsi="Times New Roman" w:cs="Times New Roman"/>
          <w:sz w:val="28"/>
          <w:szCs w:val="28"/>
          <w:lang w:val="uk-UA"/>
        </w:rPr>
        <w:t xml:space="preserve"> </w:t>
      </w:r>
      <w:r w:rsidRPr="00751B33">
        <w:rPr>
          <w:rFonts w:ascii="Times New Roman" w:hAnsi="Times New Roman" w:cs="Times New Roman"/>
          <w:sz w:val="28"/>
          <w:szCs w:val="28"/>
          <w:lang w:val="uk-UA"/>
        </w:rPr>
        <w:t>страхових резервів зі страхування життя</w:t>
      </w:r>
      <w:r>
        <w:rPr>
          <w:rFonts w:ascii="Times New Roman" w:hAnsi="Times New Roman" w:cs="Times New Roman"/>
          <w:sz w:val="28"/>
          <w:szCs w:val="28"/>
          <w:lang w:val="uk-UA"/>
        </w:rPr>
        <w:t xml:space="preserve"> табл. 3.2.1</w:t>
      </w:r>
    </w:p>
    <w:p w:rsidR="00751B33" w:rsidRDefault="00751B33" w:rsidP="00751B33">
      <w:pPr>
        <w:tabs>
          <w:tab w:val="left" w:pos="973"/>
        </w:tabs>
        <w:spacing w:after="0" w:line="360" w:lineRule="auto"/>
        <w:ind w:firstLine="709"/>
        <w:jc w:val="center"/>
        <w:rPr>
          <w:rFonts w:ascii="Times New Roman" w:hAnsi="Times New Roman" w:cs="Times New Roman"/>
          <w:b/>
          <w:sz w:val="28"/>
          <w:szCs w:val="28"/>
          <w:lang w:val="uk-UA"/>
        </w:rPr>
      </w:pPr>
      <w:r w:rsidRPr="00751B33">
        <w:rPr>
          <w:rFonts w:ascii="Times New Roman" w:hAnsi="Times New Roman" w:cs="Times New Roman"/>
          <w:b/>
          <w:sz w:val="28"/>
          <w:szCs w:val="28"/>
          <w:lang w:val="uk-UA"/>
        </w:rPr>
        <w:t>Законодавчі акти України з регулювання процесу формування</w:t>
      </w:r>
      <w:r w:rsidRPr="00751B33">
        <w:rPr>
          <w:rFonts w:ascii="Times New Roman" w:hAnsi="Times New Roman" w:cs="Times New Roman"/>
          <w:b/>
          <w:sz w:val="28"/>
          <w:szCs w:val="28"/>
          <w:lang w:val="uk-UA"/>
        </w:rPr>
        <w:t xml:space="preserve"> </w:t>
      </w:r>
      <w:r w:rsidRPr="00751B33">
        <w:rPr>
          <w:rFonts w:ascii="Times New Roman" w:hAnsi="Times New Roman" w:cs="Times New Roman"/>
          <w:b/>
          <w:sz w:val="28"/>
          <w:szCs w:val="28"/>
          <w:lang w:val="uk-UA"/>
        </w:rPr>
        <w:t>страхових резервів зі страхування життя</w:t>
      </w:r>
    </w:p>
    <w:tbl>
      <w:tblPr>
        <w:tblStyle w:val="a3"/>
        <w:tblW w:w="0" w:type="auto"/>
        <w:tblLook w:val="04A0" w:firstRow="1" w:lastRow="0" w:firstColumn="1" w:lastColumn="0" w:noHBand="0" w:noVBand="1"/>
      </w:tblPr>
      <w:tblGrid>
        <w:gridCol w:w="5290"/>
        <w:gridCol w:w="5290"/>
      </w:tblGrid>
      <w:tr w:rsidR="00751B33" w:rsidRPr="00751B33" w:rsidTr="00751B33">
        <w:trPr>
          <w:trHeight w:val="152"/>
        </w:trPr>
        <w:tc>
          <w:tcPr>
            <w:tcW w:w="5290" w:type="dxa"/>
          </w:tcPr>
          <w:p w:rsidR="00751B33" w:rsidRPr="00751B33" w:rsidRDefault="00751B33" w:rsidP="00751B33">
            <w:pPr>
              <w:tabs>
                <w:tab w:val="left" w:pos="973"/>
              </w:tabs>
              <w:jc w:val="center"/>
              <w:rPr>
                <w:rFonts w:ascii="Times New Roman" w:hAnsi="Times New Roman" w:cs="Times New Roman"/>
                <w:b/>
                <w:sz w:val="24"/>
                <w:szCs w:val="24"/>
                <w:lang w:val="uk-UA"/>
              </w:rPr>
            </w:pPr>
            <w:r w:rsidRPr="00751B33">
              <w:rPr>
                <w:rFonts w:ascii="Times New Roman" w:hAnsi="Times New Roman" w:cs="Times New Roman"/>
                <w:b/>
                <w:sz w:val="24"/>
                <w:szCs w:val="24"/>
                <w:lang w:val="uk-UA"/>
              </w:rPr>
              <w:t>Нормативно-правовий акт</w:t>
            </w:r>
          </w:p>
        </w:tc>
        <w:tc>
          <w:tcPr>
            <w:tcW w:w="5290" w:type="dxa"/>
          </w:tcPr>
          <w:p w:rsidR="00751B33" w:rsidRPr="00751B33" w:rsidRDefault="00751B33" w:rsidP="00751B33">
            <w:pPr>
              <w:tabs>
                <w:tab w:val="left" w:pos="973"/>
              </w:tabs>
              <w:jc w:val="center"/>
              <w:rPr>
                <w:rFonts w:ascii="Times New Roman" w:hAnsi="Times New Roman" w:cs="Times New Roman"/>
                <w:b/>
                <w:sz w:val="24"/>
                <w:szCs w:val="24"/>
                <w:lang w:val="uk-UA"/>
              </w:rPr>
            </w:pPr>
            <w:r w:rsidRPr="00751B33">
              <w:rPr>
                <w:rFonts w:ascii="Times New Roman" w:hAnsi="Times New Roman" w:cs="Times New Roman"/>
                <w:b/>
                <w:sz w:val="24"/>
                <w:szCs w:val="24"/>
                <w:lang w:val="uk-UA"/>
              </w:rPr>
              <w:t>Напрям регулювання</w:t>
            </w:r>
          </w:p>
        </w:tc>
      </w:tr>
      <w:tr w:rsidR="00751B33" w:rsidRPr="00751B33" w:rsidTr="00751B33">
        <w:tc>
          <w:tcPr>
            <w:tcW w:w="5290" w:type="dxa"/>
          </w:tcPr>
          <w:p w:rsidR="00751B33" w:rsidRPr="00751B33" w:rsidRDefault="00751B33" w:rsidP="00751B33">
            <w:pPr>
              <w:tabs>
                <w:tab w:val="left" w:pos="973"/>
              </w:tabs>
              <w:jc w:val="center"/>
              <w:rPr>
                <w:rFonts w:ascii="Times New Roman" w:hAnsi="Times New Roman" w:cs="Times New Roman"/>
                <w:sz w:val="24"/>
                <w:szCs w:val="24"/>
                <w:lang w:val="uk-UA"/>
              </w:rPr>
            </w:pPr>
            <w:r w:rsidRPr="00751B33">
              <w:rPr>
                <w:rFonts w:ascii="Times New Roman" w:hAnsi="Times New Roman" w:cs="Times New Roman"/>
                <w:sz w:val="24"/>
                <w:szCs w:val="24"/>
                <w:lang w:val="uk-UA"/>
              </w:rPr>
              <w:t>ЗУ «Про страхування» від 07.03.1996 р., № 85/96-ВР зі змінами та доповненнями</w:t>
            </w:r>
          </w:p>
        </w:tc>
        <w:tc>
          <w:tcPr>
            <w:tcW w:w="5290" w:type="dxa"/>
          </w:tcPr>
          <w:p w:rsidR="00751B33" w:rsidRPr="00751B33" w:rsidRDefault="00751B33" w:rsidP="00751B33">
            <w:pPr>
              <w:tabs>
                <w:tab w:val="left" w:pos="973"/>
              </w:tabs>
              <w:jc w:val="both"/>
              <w:rPr>
                <w:rFonts w:ascii="Times New Roman" w:hAnsi="Times New Roman" w:cs="Times New Roman"/>
                <w:sz w:val="24"/>
                <w:szCs w:val="24"/>
                <w:lang w:val="uk-UA"/>
              </w:rPr>
            </w:pPr>
            <w:r w:rsidRPr="00751B33">
              <w:rPr>
                <w:rFonts w:ascii="Times New Roman" w:hAnsi="Times New Roman" w:cs="Times New Roman"/>
                <w:sz w:val="24"/>
                <w:szCs w:val="24"/>
                <w:lang w:val="uk-UA"/>
              </w:rPr>
              <w:t>визначає види страхових резервів та порядок їх формування;</w:t>
            </w:r>
          </w:p>
          <w:p w:rsidR="00751B33" w:rsidRPr="00751B33" w:rsidRDefault="00751B33" w:rsidP="00751B33">
            <w:pPr>
              <w:tabs>
                <w:tab w:val="left" w:pos="973"/>
              </w:tabs>
              <w:jc w:val="both"/>
              <w:rPr>
                <w:rFonts w:ascii="Times New Roman" w:hAnsi="Times New Roman" w:cs="Times New Roman"/>
                <w:sz w:val="24"/>
                <w:szCs w:val="24"/>
                <w:lang w:val="uk-UA"/>
              </w:rPr>
            </w:pPr>
            <w:r w:rsidRPr="00751B33">
              <w:rPr>
                <w:rFonts w:ascii="Times New Roman" w:hAnsi="Times New Roman" w:cs="Times New Roman"/>
                <w:sz w:val="24"/>
                <w:szCs w:val="24"/>
                <w:lang w:val="uk-UA"/>
              </w:rPr>
              <w:t>– регламентує методику формування резервів із страхування життя з урахуванням темпів зростання інфляції;</w:t>
            </w:r>
          </w:p>
          <w:p w:rsidR="00751B33" w:rsidRPr="00751B33" w:rsidRDefault="00751B33" w:rsidP="00205FE6">
            <w:pPr>
              <w:tabs>
                <w:tab w:val="left" w:pos="973"/>
              </w:tabs>
              <w:jc w:val="both"/>
              <w:rPr>
                <w:rFonts w:ascii="Times New Roman" w:hAnsi="Times New Roman" w:cs="Times New Roman"/>
                <w:b/>
                <w:sz w:val="24"/>
                <w:szCs w:val="24"/>
                <w:lang w:val="uk-UA"/>
              </w:rPr>
            </w:pPr>
            <w:r w:rsidRPr="00751B33">
              <w:rPr>
                <w:rFonts w:ascii="Times New Roman" w:hAnsi="Times New Roman" w:cs="Times New Roman"/>
                <w:sz w:val="24"/>
                <w:szCs w:val="24"/>
                <w:lang w:val="uk-UA"/>
              </w:rPr>
              <w:t>– визначає принципи та напрями розміщення страхових резервів</w:t>
            </w:r>
          </w:p>
        </w:tc>
      </w:tr>
      <w:tr w:rsidR="00205FE6" w:rsidRPr="00751B33" w:rsidTr="00751B33">
        <w:tc>
          <w:tcPr>
            <w:tcW w:w="5290" w:type="dxa"/>
          </w:tcPr>
          <w:p w:rsidR="00205FE6" w:rsidRPr="00751B33" w:rsidRDefault="00205FE6" w:rsidP="00751B33">
            <w:pPr>
              <w:tabs>
                <w:tab w:val="left" w:pos="973"/>
              </w:tabs>
              <w:jc w:val="center"/>
              <w:rPr>
                <w:rFonts w:ascii="Times New Roman" w:hAnsi="Times New Roman" w:cs="Times New Roman"/>
                <w:sz w:val="24"/>
                <w:szCs w:val="24"/>
                <w:lang w:val="uk-UA"/>
              </w:rPr>
            </w:pPr>
            <w:r w:rsidRPr="00205FE6">
              <w:rPr>
                <w:rFonts w:ascii="Times New Roman" w:hAnsi="Times New Roman" w:cs="Times New Roman"/>
                <w:sz w:val="24"/>
                <w:szCs w:val="24"/>
                <w:lang w:val="uk-UA"/>
              </w:rPr>
              <w:t>Методика формування ре-</w:t>
            </w:r>
            <w:proofErr w:type="spellStart"/>
            <w:r w:rsidRPr="00205FE6">
              <w:rPr>
                <w:rFonts w:ascii="Times New Roman" w:hAnsi="Times New Roman" w:cs="Times New Roman"/>
                <w:sz w:val="24"/>
                <w:szCs w:val="24"/>
                <w:lang w:val="uk-UA"/>
              </w:rPr>
              <w:t>зервів</w:t>
            </w:r>
            <w:proofErr w:type="spellEnd"/>
            <w:r w:rsidRPr="00205FE6">
              <w:rPr>
                <w:rFonts w:ascii="Times New Roman" w:hAnsi="Times New Roman" w:cs="Times New Roman"/>
                <w:sz w:val="24"/>
                <w:szCs w:val="24"/>
                <w:lang w:val="uk-UA"/>
              </w:rPr>
              <w:t xml:space="preserve"> із страхування життя від 27.01.2004 р., № 24 зі змінами та доповненнями</w:t>
            </w:r>
          </w:p>
        </w:tc>
        <w:tc>
          <w:tcPr>
            <w:tcW w:w="5290" w:type="dxa"/>
          </w:tcPr>
          <w:p w:rsidR="00205FE6" w:rsidRPr="00205FE6" w:rsidRDefault="00205FE6" w:rsidP="00205FE6">
            <w:pPr>
              <w:tabs>
                <w:tab w:val="left" w:pos="973"/>
              </w:tabs>
              <w:jc w:val="both"/>
              <w:rPr>
                <w:rFonts w:ascii="Times New Roman" w:hAnsi="Times New Roman" w:cs="Times New Roman"/>
                <w:sz w:val="24"/>
                <w:szCs w:val="24"/>
                <w:lang w:val="uk-UA"/>
              </w:rPr>
            </w:pPr>
            <w:r w:rsidRPr="00205FE6">
              <w:rPr>
                <w:rFonts w:ascii="Times New Roman" w:hAnsi="Times New Roman" w:cs="Times New Roman"/>
                <w:sz w:val="24"/>
                <w:szCs w:val="24"/>
                <w:lang w:val="uk-UA"/>
              </w:rPr>
              <w:t>визначає види резервів зі страхування життя та порядок їх формування;</w:t>
            </w:r>
          </w:p>
          <w:p w:rsidR="00205FE6" w:rsidRPr="00205FE6" w:rsidRDefault="00205FE6" w:rsidP="00205FE6">
            <w:pPr>
              <w:tabs>
                <w:tab w:val="left" w:pos="973"/>
              </w:tabs>
              <w:jc w:val="both"/>
              <w:rPr>
                <w:rFonts w:ascii="Times New Roman" w:hAnsi="Times New Roman" w:cs="Times New Roman"/>
                <w:sz w:val="24"/>
                <w:szCs w:val="24"/>
                <w:lang w:val="uk-UA"/>
              </w:rPr>
            </w:pPr>
            <w:r w:rsidRPr="00205FE6">
              <w:rPr>
                <w:rFonts w:ascii="Times New Roman" w:hAnsi="Times New Roman" w:cs="Times New Roman"/>
                <w:sz w:val="24"/>
                <w:szCs w:val="24"/>
                <w:lang w:val="uk-UA"/>
              </w:rPr>
              <w:t>– установлює основні принципи оцінки вартості грошових зобов’язань страховика за договорами страхування життя;</w:t>
            </w:r>
          </w:p>
          <w:p w:rsidR="00205FE6" w:rsidRPr="00751B33" w:rsidRDefault="00205FE6" w:rsidP="00205FE6">
            <w:pPr>
              <w:tabs>
                <w:tab w:val="left" w:pos="973"/>
              </w:tabs>
              <w:jc w:val="both"/>
              <w:rPr>
                <w:rFonts w:ascii="Times New Roman" w:hAnsi="Times New Roman" w:cs="Times New Roman"/>
                <w:sz w:val="24"/>
                <w:szCs w:val="24"/>
                <w:lang w:val="uk-UA"/>
              </w:rPr>
            </w:pPr>
            <w:r w:rsidRPr="00205FE6">
              <w:rPr>
                <w:rFonts w:ascii="Times New Roman" w:hAnsi="Times New Roman" w:cs="Times New Roman"/>
                <w:sz w:val="24"/>
                <w:szCs w:val="24"/>
                <w:lang w:val="uk-UA"/>
              </w:rPr>
              <w:t>– визначає методику розрахунку математичних резервів та викупних сум</w:t>
            </w:r>
          </w:p>
        </w:tc>
      </w:tr>
    </w:tbl>
    <w:p w:rsidR="00751B33" w:rsidRPr="00751B33" w:rsidRDefault="00751B33" w:rsidP="00751B33">
      <w:pPr>
        <w:tabs>
          <w:tab w:val="left" w:pos="973"/>
        </w:tabs>
        <w:spacing w:after="0" w:line="360" w:lineRule="auto"/>
        <w:ind w:firstLine="709"/>
        <w:jc w:val="center"/>
        <w:rPr>
          <w:rFonts w:ascii="Times New Roman" w:hAnsi="Times New Roman" w:cs="Times New Roman"/>
          <w:b/>
          <w:sz w:val="28"/>
          <w:szCs w:val="28"/>
          <w:lang w:val="uk-UA"/>
        </w:rPr>
      </w:pPr>
    </w:p>
    <w:p w:rsidR="009C6850" w:rsidRPr="00C3327D" w:rsidRDefault="009C6850" w:rsidP="006412F3">
      <w:pPr>
        <w:pStyle w:val="Default"/>
        <w:spacing w:line="360" w:lineRule="auto"/>
        <w:ind w:firstLine="709"/>
        <w:jc w:val="both"/>
        <w:rPr>
          <w:color w:val="auto"/>
          <w:sz w:val="28"/>
          <w:szCs w:val="28"/>
        </w:rPr>
      </w:pPr>
      <w:r w:rsidRPr="006412F3">
        <w:rPr>
          <w:b/>
          <w:i/>
          <w:iCs/>
          <w:color w:val="2F5496" w:themeColor="accent5" w:themeShade="BF"/>
          <w:sz w:val="28"/>
          <w:szCs w:val="28"/>
        </w:rPr>
        <w:t>Резерви довгострокових зобов'язань (математичні резерви)</w:t>
      </w:r>
      <w:r w:rsidRPr="006412F3">
        <w:rPr>
          <w:i/>
          <w:iCs/>
          <w:color w:val="2F5496" w:themeColor="accent5" w:themeShade="BF"/>
          <w:sz w:val="28"/>
          <w:szCs w:val="28"/>
        </w:rPr>
        <w:t xml:space="preserve"> </w:t>
      </w:r>
      <w:r w:rsidRPr="00C3327D">
        <w:rPr>
          <w:color w:val="auto"/>
          <w:sz w:val="28"/>
          <w:szCs w:val="28"/>
        </w:rPr>
        <w:t xml:space="preserve">складаються з: </w:t>
      </w:r>
    </w:p>
    <w:p w:rsidR="009C6850" w:rsidRPr="00C3327D" w:rsidRDefault="009C6850" w:rsidP="006412F3">
      <w:pPr>
        <w:pStyle w:val="Default"/>
        <w:spacing w:line="360" w:lineRule="auto"/>
        <w:ind w:firstLine="709"/>
        <w:jc w:val="both"/>
        <w:rPr>
          <w:color w:val="auto"/>
          <w:sz w:val="28"/>
          <w:szCs w:val="28"/>
        </w:rPr>
      </w:pPr>
      <w:r w:rsidRPr="00C3327D">
        <w:rPr>
          <w:color w:val="auto"/>
          <w:sz w:val="28"/>
          <w:szCs w:val="28"/>
        </w:rPr>
        <w:t xml:space="preserve">‒ резервів </w:t>
      </w:r>
      <w:proofErr w:type="spellStart"/>
      <w:r w:rsidRPr="00C3327D">
        <w:rPr>
          <w:color w:val="auto"/>
          <w:sz w:val="28"/>
          <w:szCs w:val="28"/>
        </w:rPr>
        <w:t>нетто</w:t>
      </w:r>
      <w:proofErr w:type="spellEnd"/>
      <w:r w:rsidRPr="00C3327D">
        <w:rPr>
          <w:color w:val="auto"/>
          <w:sz w:val="28"/>
          <w:szCs w:val="28"/>
        </w:rPr>
        <w:t xml:space="preserve">-премій; </w:t>
      </w:r>
    </w:p>
    <w:p w:rsidR="009C6850" w:rsidRPr="00C3327D" w:rsidRDefault="009C6850" w:rsidP="006412F3">
      <w:pPr>
        <w:pStyle w:val="Default"/>
        <w:spacing w:line="360" w:lineRule="auto"/>
        <w:ind w:firstLine="709"/>
        <w:jc w:val="both"/>
        <w:rPr>
          <w:color w:val="auto"/>
          <w:sz w:val="28"/>
          <w:szCs w:val="28"/>
        </w:rPr>
      </w:pPr>
      <w:r w:rsidRPr="00C3327D">
        <w:rPr>
          <w:color w:val="auto"/>
          <w:sz w:val="28"/>
          <w:szCs w:val="28"/>
        </w:rPr>
        <w:lastRenderedPageBreak/>
        <w:t xml:space="preserve">‒ резервів витрат на ведення справи; </w:t>
      </w:r>
    </w:p>
    <w:p w:rsidR="009C6850" w:rsidRPr="00C3327D" w:rsidRDefault="009C6850" w:rsidP="006412F3">
      <w:pPr>
        <w:pStyle w:val="Default"/>
        <w:spacing w:line="360" w:lineRule="auto"/>
        <w:ind w:firstLine="709"/>
        <w:jc w:val="both"/>
        <w:rPr>
          <w:color w:val="auto"/>
          <w:sz w:val="28"/>
          <w:szCs w:val="28"/>
        </w:rPr>
      </w:pPr>
      <w:r w:rsidRPr="00C3327D">
        <w:rPr>
          <w:color w:val="auto"/>
          <w:sz w:val="28"/>
          <w:szCs w:val="28"/>
        </w:rPr>
        <w:t xml:space="preserve">‒ резервів вирівнювання; </w:t>
      </w:r>
    </w:p>
    <w:p w:rsidR="009C6850" w:rsidRPr="00C3327D" w:rsidRDefault="009C6850" w:rsidP="006412F3">
      <w:pPr>
        <w:pStyle w:val="Default"/>
        <w:spacing w:line="360" w:lineRule="auto"/>
        <w:ind w:firstLine="709"/>
        <w:jc w:val="both"/>
        <w:rPr>
          <w:color w:val="auto"/>
          <w:sz w:val="28"/>
          <w:szCs w:val="28"/>
        </w:rPr>
      </w:pPr>
      <w:r w:rsidRPr="00C3327D">
        <w:rPr>
          <w:color w:val="auto"/>
          <w:sz w:val="28"/>
          <w:szCs w:val="28"/>
        </w:rPr>
        <w:t xml:space="preserve">‒ резерву бонусів. </w:t>
      </w:r>
    </w:p>
    <w:p w:rsidR="009C6850" w:rsidRPr="00C3327D" w:rsidRDefault="009C6850" w:rsidP="006412F3">
      <w:pPr>
        <w:pStyle w:val="Default"/>
        <w:spacing w:line="360" w:lineRule="auto"/>
        <w:ind w:firstLine="709"/>
        <w:jc w:val="both"/>
        <w:rPr>
          <w:color w:val="auto"/>
          <w:sz w:val="28"/>
          <w:szCs w:val="28"/>
        </w:rPr>
      </w:pPr>
      <w:r w:rsidRPr="00C3327D">
        <w:rPr>
          <w:color w:val="auto"/>
          <w:sz w:val="28"/>
          <w:szCs w:val="28"/>
        </w:rPr>
        <w:t xml:space="preserve">Розрахунок математичних резервів здійснюється з використанням </w:t>
      </w:r>
      <w:r w:rsidRPr="006412F3">
        <w:rPr>
          <w:i/>
          <w:color w:val="auto"/>
          <w:sz w:val="28"/>
          <w:szCs w:val="28"/>
        </w:rPr>
        <w:t xml:space="preserve">актуарних методів. </w:t>
      </w:r>
    </w:p>
    <w:p w:rsidR="009C6850" w:rsidRPr="00C3327D" w:rsidRDefault="009C6850" w:rsidP="006412F3">
      <w:pPr>
        <w:pStyle w:val="Default"/>
        <w:spacing w:line="360" w:lineRule="auto"/>
        <w:ind w:firstLine="709"/>
        <w:jc w:val="both"/>
        <w:rPr>
          <w:color w:val="auto"/>
          <w:sz w:val="28"/>
          <w:szCs w:val="28"/>
        </w:rPr>
      </w:pPr>
      <w:r w:rsidRPr="00C3327D">
        <w:rPr>
          <w:color w:val="auto"/>
          <w:sz w:val="28"/>
          <w:szCs w:val="28"/>
        </w:rPr>
        <w:t xml:space="preserve">Розрахунок математичних резервів здійснюється окремо за кожним чинним на звітну дату договором з урахуванням темпів зростання інфляції, якщо це передбачено договором. </w:t>
      </w:r>
    </w:p>
    <w:p w:rsidR="009C6850" w:rsidRDefault="009C6850" w:rsidP="006412F3">
      <w:pPr>
        <w:pStyle w:val="Default"/>
        <w:spacing w:line="360" w:lineRule="auto"/>
        <w:ind w:firstLine="709"/>
        <w:jc w:val="both"/>
        <w:rPr>
          <w:color w:val="auto"/>
          <w:sz w:val="28"/>
          <w:szCs w:val="28"/>
        </w:rPr>
      </w:pPr>
      <w:r w:rsidRPr="00C3327D">
        <w:rPr>
          <w:color w:val="auto"/>
          <w:sz w:val="28"/>
          <w:szCs w:val="28"/>
        </w:rPr>
        <w:t xml:space="preserve">Загальна величина математичного резерву дорівнює сумі резервів, розрахованих окремо за кожним договором. </w:t>
      </w:r>
    </w:p>
    <w:p w:rsidR="00C92884" w:rsidRPr="00C92884" w:rsidRDefault="00C92884" w:rsidP="00C92884">
      <w:pPr>
        <w:pStyle w:val="Default"/>
        <w:spacing w:line="360" w:lineRule="auto"/>
        <w:ind w:firstLine="709"/>
        <w:jc w:val="both"/>
        <w:rPr>
          <w:color w:val="auto"/>
          <w:sz w:val="28"/>
          <w:szCs w:val="28"/>
        </w:rPr>
      </w:pPr>
      <w:r w:rsidRPr="00C92884">
        <w:rPr>
          <w:color w:val="auto"/>
          <w:sz w:val="28"/>
          <w:szCs w:val="28"/>
        </w:rPr>
        <w:t>Для забезпечення страхових зобов’язань із страхування життя та медичного страхування страховики формують окремі резерви за рахунок надходження страхових платежів і доходів від інвестування коштів сформованих резервів за цими видами страхування.</w:t>
      </w:r>
    </w:p>
    <w:p w:rsidR="00C92884" w:rsidRPr="00C92884" w:rsidRDefault="00C92884" w:rsidP="00C92884">
      <w:pPr>
        <w:pStyle w:val="Default"/>
        <w:spacing w:line="360" w:lineRule="auto"/>
        <w:ind w:firstLine="709"/>
        <w:jc w:val="both"/>
        <w:rPr>
          <w:color w:val="auto"/>
          <w:sz w:val="28"/>
          <w:szCs w:val="28"/>
        </w:rPr>
      </w:pPr>
      <w:r w:rsidRPr="00C92884">
        <w:rPr>
          <w:color w:val="auto"/>
          <w:sz w:val="28"/>
          <w:szCs w:val="28"/>
        </w:rPr>
        <w:t xml:space="preserve">Кошти резервів із страхування життя не є власністю </w:t>
      </w:r>
      <w:proofErr w:type="spellStart"/>
      <w:r w:rsidRPr="00C92884">
        <w:rPr>
          <w:color w:val="auto"/>
          <w:sz w:val="28"/>
          <w:szCs w:val="28"/>
        </w:rPr>
        <w:t>страхо</w:t>
      </w:r>
      <w:proofErr w:type="spellEnd"/>
      <w:r w:rsidRPr="00C92884">
        <w:rPr>
          <w:color w:val="auto"/>
          <w:sz w:val="28"/>
          <w:szCs w:val="28"/>
        </w:rPr>
        <w:t>-вика і мають бути відокремлені від іншого його майна.</w:t>
      </w:r>
    </w:p>
    <w:p w:rsidR="00C92884" w:rsidRPr="00C92884" w:rsidRDefault="00C92884" w:rsidP="00C92884">
      <w:pPr>
        <w:pStyle w:val="Default"/>
        <w:spacing w:line="360" w:lineRule="auto"/>
        <w:ind w:firstLine="709"/>
        <w:jc w:val="both"/>
        <w:rPr>
          <w:color w:val="auto"/>
          <w:sz w:val="28"/>
          <w:szCs w:val="28"/>
        </w:rPr>
      </w:pPr>
      <w:r w:rsidRPr="00C92884">
        <w:rPr>
          <w:color w:val="auto"/>
          <w:sz w:val="28"/>
          <w:szCs w:val="28"/>
        </w:rPr>
        <w:t xml:space="preserve">Кошти резервів із страхування життя не можуть </w:t>
      </w:r>
      <w:proofErr w:type="spellStart"/>
      <w:r w:rsidRPr="00C92884">
        <w:rPr>
          <w:color w:val="auto"/>
          <w:sz w:val="28"/>
          <w:szCs w:val="28"/>
        </w:rPr>
        <w:t>використо-вуватися</w:t>
      </w:r>
      <w:proofErr w:type="spellEnd"/>
      <w:r w:rsidRPr="00C92884">
        <w:rPr>
          <w:color w:val="auto"/>
          <w:sz w:val="28"/>
          <w:szCs w:val="28"/>
        </w:rPr>
        <w:t xml:space="preserve"> страховиком для погашення будь-яких зобов’язань, крім тих, що відповідають прийнятим зобов’язанням за договорами страху-</w:t>
      </w:r>
      <w:proofErr w:type="spellStart"/>
      <w:r w:rsidRPr="00C92884">
        <w:rPr>
          <w:color w:val="auto"/>
          <w:sz w:val="28"/>
          <w:szCs w:val="28"/>
        </w:rPr>
        <w:t>вання</w:t>
      </w:r>
      <w:proofErr w:type="spellEnd"/>
      <w:r w:rsidRPr="00C92884">
        <w:rPr>
          <w:color w:val="auto"/>
          <w:sz w:val="28"/>
          <w:szCs w:val="28"/>
        </w:rPr>
        <w:t xml:space="preserve"> життя, і не можуть бути включені до ліквідаційної маси у разі банкрутства страховика або його ліквідації з інших причин, і </w:t>
      </w:r>
      <w:proofErr w:type="spellStart"/>
      <w:r w:rsidRPr="00C92884">
        <w:rPr>
          <w:color w:val="auto"/>
          <w:sz w:val="28"/>
          <w:szCs w:val="28"/>
        </w:rPr>
        <w:t>підля</w:t>
      </w:r>
      <w:proofErr w:type="spellEnd"/>
      <w:r w:rsidRPr="00C92884">
        <w:rPr>
          <w:color w:val="auto"/>
          <w:sz w:val="28"/>
          <w:szCs w:val="28"/>
        </w:rPr>
        <w:t>-гають передачі іншому страховику за згодою страхувальника та застрахованої особи або підлягають передачі застрахованій особі.</w:t>
      </w:r>
    </w:p>
    <w:p w:rsidR="00C92884" w:rsidRPr="00C3327D" w:rsidRDefault="00C92884" w:rsidP="00C92884">
      <w:pPr>
        <w:pStyle w:val="Default"/>
        <w:spacing w:line="360" w:lineRule="auto"/>
        <w:ind w:firstLine="709"/>
        <w:jc w:val="both"/>
        <w:rPr>
          <w:color w:val="auto"/>
          <w:sz w:val="28"/>
          <w:szCs w:val="28"/>
        </w:rPr>
      </w:pPr>
      <w:r w:rsidRPr="00C92884">
        <w:rPr>
          <w:color w:val="auto"/>
          <w:sz w:val="28"/>
          <w:szCs w:val="28"/>
        </w:rPr>
        <w:t>Страховик зобов’язаний обліковувати кошти резервів із страхування життя на окремому балансі і вести їх окремий облік.</w:t>
      </w:r>
    </w:p>
    <w:p w:rsidR="009C6850" w:rsidRPr="00DC6645" w:rsidRDefault="009C6850" w:rsidP="00470D40">
      <w:pPr>
        <w:pStyle w:val="Default"/>
        <w:numPr>
          <w:ilvl w:val="0"/>
          <w:numId w:val="9"/>
        </w:numPr>
        <w:spacing w:line="360" w:lineRule="auto"/>
        <w:ind w:left="0" w:firstLine="709"/>
        <w:jc w:val="both"/>
        <w:rPr>
          <w:color w:val="auto"/>
          <w:sz w:val="28"/>
          <w:szCs w:val="28"/>
        </w:rPr>
      </w:pPr>
      <w:r w:rsidRPr="001E7C2A">
        <w:rPr>
          <w:b/>
          <w:color w:val="auto"/>
          <w:sz w:val="28"/>
          <w:szCs w:val="28"/>
        </w:rPr>
        <w:t xml:space="preserve">Розрахунок </w:t>
      </w:r>
      <w:r w:rsidRPr="001E7C2A">
        <w:rPr>
          <w:b/>
          <w:i/>
          <w:iCs/>
          <w:color w:val="auto"/>
          <w:sz w:val="28"/>
          <w:szCs w:val="28"/>
        </w:rPr>
        <w:t xml:space="preserve">резерву </w:t>
      </w:r>
      <w:proofErr w:type="spellStart"/>
      <w:r w:rsidRPr="001E7C2A">
        <w:rPr>
          <w:b/>
          <w:i/>
          <w:iCs/>
          <w:color w:val="auto"/>
          <w:sz w:val="28"/>
          <w:szCs w:val="28"/>
        </w:rPr>
        <w:t>нетто</w:t>
      </w:r>
      <w:proofErr w:type="spellEnd"/>
      <w:r w:rsidRPr="001E7C2A">
        <w:rPr>
          <w:b/>
          <w:i/>
          <w:iCs/>
          <w:color w:val="auto"/>
          <w:sz w:val="28"/>
          <w:szCs w:val="28"/>
        </w:rPr>
        <w:t xml:space="preserve">-премій </w:t>
      </w:r>
      <w:r w:rsidRPr="00DC6645">
        <w:rPr>
          <w:color w:val="auto"/>
          <w:sz w:val="28"/>
          <w:szCs w:val="28"/>
        </w:rPr>
        <w:t xml:space="preserve">на страхову річницю здійснюється проспективно – як різниця між </w:t>
      </w:r>
      <w:proofErr w:type="spellStart"/>
      <w:r w:rsidRPr="00DC6645">
        <w:rPr>
          <w:color w:val="auto"/>
          <w:sz w:val="28"/>
          <w:szCs w:val="28"/>
        </w:rPr>
        <w:t>актуарною</w:t>
      </w:r>
      <w:proofErr w:type="spellEnd"/>
      <w:r w:rsidRPr="00DC6645">
        <w:rPr>
          <w:color w:val="auto"/>
          <w:sz w:val="28"/>
          <w:szCs w:val="28"/>
        </w:rPr>
        <w:t xml:space="preserve"> вартістю потоку майбутніх страхових виплат (без урахування бонусів) та </w:t>
      </w:r>
      <w:proofErr w:type="spellStart"/>
      <w:r w:rsidRPr="00DC6645">
        <w:rPr>
          <w:color w:val="auto"/>
          <w:sz w:val="28"/>
          <w:szCs w:val="28"/>
        </w:rPr>
        <w:t>актуарною</w:t>
      </w:r>
      <w:proofErr w:type="spellEnd"/>
      <w:r w:rsidRPr="00DC6645">
        <w:rPr>
          <w:color w:val="auto"/>
          <w:sz w:val="28"/>
          <w:szCs w:val="28"/>
        </w:rPr>
        <w:t xml:space="preserve"> вартістю потоку майбутніх страхових </w:t>
      </w:r>
      <w:proofErr w:type="spellStart"/>
      <w:r w:rsidRPr="00DC6645">
        <w:rPr>
          <w:color w:val="auto"/>
          <w:sz w:val="28"/>
          <w:szCs w:val="28"/>
        </w:rPr>
        <w:t>нетто</w:t>
      </w:r>
      <w:proofErr w:type="spellEnd"/>
      <w:r w:rsidRPr="00DC6645">
        <w:rPr>
          <w:color w:val="auto"/>
          <w:sz w:val="28"/>
          <w:szCs w:val="28"/>
        </w:rPr>
        <w:t xml:space="preserve">-премій. </w:t>
      </w:r>
    </w:p>
    <w:p w:rsidR="00AD671E" w:rsidRDefault="009C6850" w:rsidP="00AD671E">
      <w:pPr>
        <w:pStyle w:val="Default"/>
        <w:spacing w:line="360" w:lineRule="auto"/>
        <w:ind w:firstLine="709"/>
        <w:jc w:val="both"/>
        <w:rPr>
          <w:color w:val="auto"/>
          <w:sz w:val="28"/>
          <w:szCs w:val="28"/>
        </w:rPr>
      </w:pPr>
      <w:r w:rsidRPr="00C3327D">
        <w:rPr>
          <w:color w:val="auto"/>
          <w:sz w:val="28"/>
          <w:szCs w:val="28"/>
        </w:rPr>
        <w:t xml:space="preserve">У разі якщо особливості окремих видів договорів (окремих страхових ризиків, передбачених у договорі) не можуть бути повною мірою враховані проспективно, розрахунок резерву </w:t>
      </w:r>
      <w:proofErr w:type="spellStart"/>
      <w:r w:rsidRPr="00C3327D">
        <w:rPr>
          <w:color w:val="auto"/>
          <w:sz w:val="28"/>
          <w:szCs w:val="28"/>
        </w:rPr>
        <w:t>нетто</w:t>
      </w:r>
      <w:proofErr w:type="spellEnd"/>
      <w:r w:rsidRPr="00C3327D">
        <w:rPr>
          <w:color w:val="auto"/>
          <w:sz w:val="28"/>
          <w:szCs w:val="28"/>
        </w:rPr>
        <w:t xml:space="preserve">-премій за такими договорами (ризиками) може здійснюватися </w:t>
      </w:r>
      <w:r w:rsidRPr="00C3327D">
        <w:rPr>
          <w:color w:val="auto"/>
          <w:sz w:val="28"/>
          <w:szCs w:val="28"/>
        </w:rPr>
        <w:lastRenderedPageBreak/>
        <w:t xml:space="preserve">ретроспективно – на підставі інформації про отримані страхові внески (премії) та здійснені страхові виплати. </w:t>
      </w:r>
    </w:p>
    <w:p w:rsidR="009C6850" w:rsidRPr="00AD671E" w:rsidRDefault="009C6850" w:rsidP="00AD671E">
      <w:pPr>
        <w:pStyle w:val="Default"/>
        <w:numPr>
          <w:ilvl w:val="0"/>
          <w:numId w:val="9"/>
        </w:numPr>
        <w:spacing w:line="360" w:lineRule="auto"/>
        <w:ind w:left="0" w:firstLine="709"/>
        <w:jc w:val="both"/>
        <w:rPr>
          <w:color w:val="auto"/>
          <w:sz w:val="28"/>
          <w:szCs w:val="28"/>
        </w:rPr>
      </w:pPr>
      <w:r w:rsidRPr="00AD671E">
        <w:rPr>
          <w:color w:val="auto"/>
          <w:sz w:val="28"/>
          <w:szCs w:val="28"/>
        </w:rPr>
        <w:t xml:space="preserve">Розрахунок </w:t>
      </w:r>
      <w:r w:rsidRPr="00AD671E">
        <w:rPr>
          <w:b/>
          <w:i/>
          <w:iCs/>
          <w:color w:val="2F5496" w:themeColor="accent5" w:themeShade="BF"/>
          <w:sz w:val="28"/>
          <w:szCs w:val="28"/>
        </w:rPr>
        <w:t>резерву витрат на ведення справи</w:t>
      </w:r>
      <w:r w:rsidRPr="00AD671E">
        <w:rPr>
          <w:i/>
          <w:iCs/>
          <w:color w:val="2F5496" w:themeColor="accent5" w:themeShade="BF"/>
          <w:sz w:val="28"/>
          <w:szCs w:val="28"/>
        </w:rPr>
        <w:t xml:space="preserve"> </w:t>
      </w:r>
      <w:r w:rsidRPr="00AD671E">
        <w:rPr>
          <w:color w:val="auto"/>
          <w:sz w:val="28"/>
          <w:szCs w:val="28"/>
        </w:rPr>
        <w:t xml:space="preserve">на страхову річницю здійснюється проспективно – як різниця між </w:t>
      </w:r>
      <w:proofErr w:type="spellStart"/>
      <w:r w:rsidRPr="00AD671E">
        <w:rPr>
          <w:color w:val="auto"/>
          <w:sz w:val="28"/>
          <w:szCs w:val="28"/>
        </w:rPr>
        <w:t>актуарною</w:t>
      </w:r>
      <w:proofErr w:type="spellEnd"/>
      <w:r w:rsidRPr="00AD671E">
        <w:rPr>
          <w:color w:val="auto"/>
          <w:sz w:val="28"/>
          <w:szCs w:val="28"/>
        </w:rPr>
        <w:t xml:space="preserve"> вартістю потоку майбутніх витрат страховика із забезпечення виконання зобов'язань за договором після закінчення строку сплати страхових внесків та </w:t>
      </w:r>
      <w:proofErr w:type="spellStart"/>
      <w:r w:rsidRPr="00AD671E">
        <w:rPr>
          <w:color w:val="auto"/>
          <w:sz w:val="28"/>
          <w:szCs w:val="28"/>
        </w:rPr>
        <w:t>актуарною</w:t>
      </w:r>
      <w:proofErr w:type="spellEnd"/>
      <w:r w:rsidRPr="00AD671E">
        <w:rPr>
          <w:color w:val="auto"/>
          <w:sz w:val="28"/>
          <w:szCs w:val="28"/>
        </w:rPr>
        <w:t xml:space="preserve"> вартістю потоку наступних надходжень тієї частини брутто-премії, що йде на покриття майбутніх витрат. </w:t>
      </w:r>
      <w:r w:rsidRPr="00AD671E">
        <w:rPr>
          <w:i/>
          <w:iCs/>
          <w:color w:val="auto"/>
          <w:sz w:val="28"/>
          <w:szCs w:val="28"/>
        </w:rPr>
        <w:t xml:space="preserve">Резерв вирівнювання </w:t>
      </w:r>
      <w:r w:rsidRPr="00AD671E">
        <w:rPr>
          <w:color w:val="auto"/>
          <w:sz w:val="28"/>
          <w:szCs w:val="28"/>
        </w:rPr>
        <w:t xml:space="preserve">розраховується в разі, якщо при розрахунку математичних резервів за договором </w:t>
      </w:r>
      <w:proofErr w:type="spellStart"/>
      <w:r w:rsidRPr="00AD671E">
        <w:rPr>
          <w:color w:val="auto"/>
          <w:sz w:val="28"/>
          <w:szCs w:val="28"/>
        </w:rPr>
        <w:t>актуарна</w:t>
      </w:r>
      <w:proofErr w:type="spellEnd"/>
      <w:r w:rsidRPr="00AD671E">
        <w:rPr>
          <w:color w:val="auto"/>
          <w:sz w:val="28"/>
          <w:szCs w:val="28"/>
        </w:rPr>
        <w:t xml:space="preserve"> вартість потоку майбутніх страхових </w:t>
      </w:r>
      <w:proofErr w:type="spellStart"/>
      <w:r w:rsidRPr="00AD671E">
        <w:rPr>
          <w:color w:val="auto"/>
          <w:sz w:val="28"/>
          <w:szCs w:val="28"/>
        </w:rPr>
        <w:t>нетто</w:t>
      </w:r>
      <w:proofErr w:type="spellEnd"/>
      <w:r w:rsidRPr="00AD671E">
        <w:rPr>
          <w:color w:val="auto"/>
          <w:sz w:val="28"/>
          <w:szCs w:val="28"/>
        </w:rPr>
        <w:t xml:space="preserve">-премій перевищує 97 % від </w:t>
      </w:r>
      <w:proofErr w:type="spellStart"/>
      <w:r w:rsidRPr="00AD671E">
        <w:rPr>
          <w:color w:val="auto"/>
          <w:sz w:val="28"/>
          <w:szCs w:val="28"/>
        </w:rPr>
        <w:t>актуарної</w:t>
      </w:r>
      <w:proofErr w:type="spellEnd"/>
      <w:r w:rsidRPr="00AD671E">
        <w:rPr>
          <w:color w:val="auto"/>
          <w:sz w:val="28"/>
          <w:szCs w:val="28"/>
        </w:rPr>
        <w:t xml:space="preserve"> вартості потоку майбутніх страхових брутто-премій, яка обчислюється на базисі розрахунку резервів, та дорівнює величині такого перевищення. В іншому випадку резерв вирівнювання за договором не формується, а його величина вважається рівною нулю. </w:t>
      </w:r>
    </w:p>
    <w:p w:rsidR="009C6850" w:rsidRPr="00C3327D" w:rsidRDefault="009C6850" w:rsidP="00AD671E">
      <w:pPr>
        <w:pStyle w:val="Default"/>
        <w:numPr>
          <w:ilvl w:val="0"/>
          <w:numId w:val="9"/>
        </w:numPr>
        <w:spacing w:line="360" w:lineRule="auto"/>
        <w:ind w:left="0" w:firstLine="709"/>
        <w:jc w:val="both"/>
        <w:rPr>
          <w:color w:val="auto"/>
          <w:sz w:val="28"/>
          <w:szCs w:val="28"/>
        </w:rPr>
      </w:pPr>
      <w:r w:rsidRPr="00C3327D">
        <w:rPr>
          <w:color w:val="auto"/>
          <w:sz w:val="28"/>
          <w:szCs w:val="28"/>
        </w:rPr>
        <w:t xml:space="preserve">Формування </w:t>
      </w:r>
      <w:r w:rsidRPr="00AD671E">
        <w:rPr>
          <w:b/>
          <w:i/>
          <w:color w:val="2F5496" w:themeColor="accent5" w:themeShade="BF"/>
          <w:sz w:val="28"/>
          <w:szCs w:val="28"/>
        </w:rPr>
        <w:t>резерву вирівнювання</w:t>
      </w:r>
      <w:r w:rsidRPr="00AD671E">
        <w:rPr>
          <w:color w:val="2F5496" w:themeColor="accent5" w:themeShade="BF"/>
          <w:sz w:val="28"/>
          <w:szCs w:val="28"/>
        </w:rPr>
        <w:t xml:space="preserve"> </w:t>
      </w:r>
      <w:r w:rsidRPr="00C3327D">
        <w:rPr>
          <w:color w:val="auto"/>
          <w:sz w:val="28"/>
          <w:szCs w:val="28"/>
        </w:rPr>
        <w:t xml:space="preserve">здійснюється з метою забезпечення виконання страховиком зобов'язань у випадку, якщо величина страхової премії (внесків) за договором страхування є недостатньою для забезпечення майбутніх страхових виплат. </w:t>
      </w:r>
    </w:p>
    <w:p w:rsidR="009C6850" w:rsidRPr="00C3327D" w:rsidRDefault="009C6850" w:rsidP="00AD671E">
      <w:pPr>
        <w:pStyle w:val="Default"/>
        <w:numPr>
          <w:ilvl w:val="0"/>
          <w:numId w:val="9"/>
        </w:numPr>
        <w:spacing w:line="360" w:lineRule="auto"/>
        <w:ind w:left="0" w:firstLine="709"/>
        <w:jc w:val="both"/>
        <w:rPr>
          <w:color w:val="auto"/>
          <w:sz w:val="28"/>
          <w:szCs w:val="28"/>
        </w:rPr>
      </w:pPr>
      <w:r w:rsidRPr="00AD671E">
        <w:rPr>
          <w:b/>
          <w:i/>
          <w:iCs/>
          <w:color w:val="2F5496" w:themeColor="accent5" w:themeShade="BF"/>
          <w:sz w:val="28"/>
          <w:szCs w:val="28"/>
        </w:rPr>
        <w:t>Резерв бонусів</w:t>
      </w:r>
      <w:r w:rsidRPr="00AD671E">
        <w:rPr>
          <w:i/>
          <w:iCs/>
          <w:color w:val="2F5496" w:themeColor="accent5" w:themeShade="BF"/>
          <w:sz w:val="28"/>
          <w:szCs w:val="28"/>
        </w:rPr>
        <w:t xml:space="preserve"> </w:t>
      </w:r>
      <w:r w:rsidRPr="00C3327D">
        <w:rPr>
          <w:color w:val="auto"/>
          <w:sz w:val="28"/>
          <w:szCs w:val="28"/>
        </w:rPr>
        <w:t xml:space="preserve">є оцінкою </w:t>
      </w:r>
      <w:proofErr w:type="spellStart"/>
      <w:r w:rsidRPr="00C3327D">
        <w:rPr>
          <w:color w:val="auto"/>
          <w:sz w:val="28"/>
          <w:szCs w:val="28"/>
        </w:rPr>
        <w:t>актуарної</w:t>
      </w:r>
      <w:proofErr w:type="spellEnd"/>
      <w:r w:rsidRPr="00C3327D">
        <w:rPr>
          <w:color w:val="auto"/>
          <w:sz w:val="28"/>
          <w:szCs w:val="28"/>
        </w:rPr>
        <w:t xml:space="preserve"> вартості додаткових зобов'язань страховика, що виникають при збільшенні розмірів страхових сум та (або) страхових виплат за результатами отриманого інвестиційного доходу та за іншими фінансовими результатами діяльності страховика (участь у прибутках страховика).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Резерв бонусів оцінюється як </w:t>
      </w:r>
      <w:proofErr w:type="spellStart"/>
      <w:r w:rsidRPr="00C3327D">
        <w:rPr>
          <w:color w:val="auto"/>
          <w:sz w:val="28"/>
          <w:szCs w:val="28"/>
        </w:rPr>
        <w:t>актуарна</w:t>
      </w:r>
      <w:proofErr w:type="spellEnd"/>
      <w:r w:rsidRPr="00C3327D">
        <w:rPr>
          <w:color w:val="auto"/>
          <w:sz w:val="28"/>
          <w:szCs w:val="28"/>
        </w:rPr>
        <w:t xml:space="preserve"> вартість додаткових зобов'язань страховика.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Інвестиційний дохід, отриманий від розміщення коштів із страхування життя та участі в прибутках страховика станом на звітну дату, що належить згідно з вимогами законодавства про страхову діяльність та податкового законодавства до розподілу за договорами страхування життя, але ще не повідомлений страхувальнику, є складовою частиною резерву бонусів.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До дати направлення письмового повідомлення страхувальника про розмір прийнятих додаткових зобов'язань персоніфікація резерву бонусів за договором може бути скоригована. </w:t>
      </w:r>
    </w:p>
    <w:p w:rsidR="009C6850" w:rsidRPr="00AD671E" w:rsidRDefault="009C6850" w:rsidP="00AD671E">
      <w:pPr>
        <w:pStyle w:val="Default"/>
        <w:spacing w:line="360" w:lineRule="auto"/>
        <w:ind w:firstLine="709"/>
        <w:jc w:val="both"/>
        <w:rPr>
          <w:b/>
          <w:i/>
          <w:color w:val="auto"/>
          <w:sz w:val="28"/>
          <w:szCs w:val="28"/>
        </w:rPr>
      </w:pPr>
      <w:r w:rsidRPr="00C3327D">
        <w:rPr>
          <w:color w:val="auto"/>
          <w:sz w:val="28"/>
          <w:szCs w:val="28"/>
        </w:rPr>
        <w:lastRenderedPageBreak/>
        <w:t xml:space="preserve">Якщо умовами договору передбачено право страхувальника в майбутньому вибрати спосіб виконання страховиком зобов'язань за договором (здійснити одноразову страхову виплату в разі досягнення застрахованою особою визначеного договором віку чи виплату ануїтету, змінити періодичність виплати ануїтету тощо), то для розрахунку резервів використовується варіант, за яким </w:t>
      </w:r>
      <w:proofErr w:type="spellStart"/>
      <w:r w:rsidRPr="00C3327D">
        <w:rPr>
          <w:color w:val="auto"/>
          <w:sz w:val="28"/>
          <w:szCs w:val="28"/>
        </w:rPr>
        <w:t>актуарна</w:t>
      </w:r>
      <w:proofErr w:type="spellEnd"/>
      <w:r w:rsidRPr="00C3327D">
        <w:rPr>
          <w:color w:val="auto"/>
          <w:sz w:val="28"/>
          <w:szCs w:val="28"/>
        </w:rPr>
        <w:t xml:space="preserve"> </w:t>
      </w:r>
      <w:r w:rsidRPr="00AD671E">
        <w:rPr>
          <w:b/>
          <w:i/>
          <w:color w:val="auto"/>
          <w:sz w:val="28"/>
          <w:szCs w:val="28"/>
        </w:rPr>
        <w:t xml:space="preserve">вартість майбутніх страхових виплат більша. </w:t>
      </w:r>
    </w:p>
    <w:p w:rsidR="009C6850" w:rsidRPr="00AD671E" w:rsidRDefault="009C6850" w:rsidP="00C3327D">
      <w:pPr>
        <w:pStyle w:val="Default"/>
        <w:spacing w:line="360" w:lineRule="auto"/>
        <w:ind w:firstLine="709"/>
        <w:jc w:val="both"/>
        <w:rPr>
          <w:b/>
          <w:i/>
          <w:color w:val="auto"/>
          <w:sz w:val="28"/>
          <w:szCs w:val="28"/>
        </w:rPr>
      </w:pPr>
      <w:r w:rsidRPr="00C3327D">
        <w:rPr>
          <w:color w:val="auto"/>
          <w:sz w:val="28"/>
          <w:szCs w:val="28"/>
        </w:rPr>
        <w:t xml:space="preserve">Якщо умови договору страхування передбачають можливість сплати додаткових страхових премій і відповідний перерахунок страхових сум та (або) виплат, то для розрахунку резерву </w:t>
      </w:r>
      <w:proofErr w:type="spellStart"/>
      <w:r w:rsidRPr="00C3327D">
        <w:rPr>
          <w:color w:val="auto"/>
          <w:sz w:val="28"/>
          <w:szCs w:val="28"/>
        </w:rPr>
        <w:t>нетто</w:t>
      </w:r>
      <w:proofErr w:type="spellEnd"/>
      <w:r w:rsidRPr="00C3327D">
        <w:rPr>
          <w:color w:val="auto"/>
          <w:sz w:val="28"/>
          <w:szCs w:val="28"/>
        </w:rPr>
        <w:t xml:space="preserve">-премій розміри страхових сум та (або) виплат визначаються на дату його розрахунку, а розміри майбутніх страхових премій вважаються такими, що відповідають умовам договору та забезпечують </w:t>
      </w:r>
      <w:r w:rsidRPr="00AD671E">
        <w:rPr>
          <w:b/>
          <w:i/>
          <w:color w:val="auto"/>
          <w:sz w:val="28"/>
          <w:szCs w:val="28"/>
        </w:rPr>
        <w:t xml:space="preserve">найбільший розмір резерву.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Розрахунок резерву </w:t>
      </w:r>
      <w:proofErr w:type="spellStart"/>
      <w:r w:rsidRPr="00C3327D">
        <w:rPr>
          <w:color w:val="auto"/>
          <w:sz w:val="28"/>
          <w:szCs w:val="28"/>
        </w:rPr>
        <w:t>нетто</w:t>
      </w:r>
      <w:proofErr w:type="spellEnd"/>
      <w:r w:rsidRPr="00C3327D">
        <w:rPr>
          <w:color w:val="auto"/>
          <w:sz w:val="28"/>
          <w:szCs w:val="28"/>
        </w:rPr>
        <w:t xml:space="preserve">-премій, резерву витрат на ведення справи та резерву вирівнювання на звітну дату, що не збігається зі страховою річницею, здійснюється методом інтерполяції між розмірами цих резервів на найближчі страхові річниці.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При інтерполяції резерву </w:t>
      </w:r>
      <w:proofErr w:type="spellStart"/>
      <w:r w:rsidRPr="00C3327D">
        <w:rPr>
          <w:color w:val="auto"/>
          <w:sz w:val="28"/>
          <w:szCs w:val="28"/>
        </w:rPr>
        <w:t>нетто</w:t>
      </w:r>
      <w:proofErr w:type="spellEnd"/>
      <w:r w:rsidRPr="00C3327D">
        <w:rPr>
          <w:color w:val="auto"/>
          <w:sz w:val="28"/>
          <w:szCs w:val="28"/>
        </w:rPr>
        <w:t xml:space="preserve">-премій до розрахунку також включається частина нарахованої страхової </w:t>
      </w:r>
      <w:proofErr w:type="spellStart"/>
      <w:r w:rsidRPr="00C3327D">
        <w:rPr>
          <w:color w:val="auto"/>
          <w:sz w:val="28"/>
          <w:szCs w:val="28"/>
        </w:rPr>
        <w:t>нетто</w:t>
      </w:r>
      <w:proofErr w:type="spellEnd"/>
      <w:r w:rsidRPr="00C3327D">
        <w:rPr>
          <w:color w:val="auto"/>
          <w:sz w:val="28"/>
          <w:szCs w:val="28"/>
        </w:rPr>
        <w:t xml:space="preserve">-премії, що відповідає проміжку часу, починаючи від звітної дати, на яку розраховується резерв, до кінця періоду, за який дана премія сплачена.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Страхові річниці можуть бути замінені на найближчі до звітної дати календарні дати, які відповідають цілому числу кварталів (місяців), що пройшли з дня набрання чинності договором.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У випадку, якщо строк дії договору не є цілим числом років, то для розрахунку таких резервів після дати останньої страхової річниці інтерполяція здійснюється між значенням резервів на останню річницю та датою закінчення договору страхування життя.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На дати, наступні за днем закінчення строку дії договору, математичні резерви вважаються рівними нулю.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Страховик одночасно з розрахунком страхових резервів за кожним договором оцінює обсяг страхових зобов'язань </w:t>
      </w:r>
      <w:proofErr w:type="spellStart"/>
      <w:r w:rsidRPr="00C3327D">
        <w:rPr>
          <w:color w:val="auto"/>
          <w:sz w:val="28"/>
          <w:szCs w:val="28"/>
        </w:rPr>
        <w:t>перестраховика</w:t>
      </w:r>
      <w:proofErr w:type="spellEnd"/>
      <w:r w:rsidRPr="00C3327D">
        <w:rPr>
          <w:color w:val="auto"/>
          <w:sz w:val="28"/>
          <w:szCs w:val="28"/>
        </w:rPr>
        <w:t xml:space="preserve">. </w:t>
      </w:r>
    </w:p>
    <w:p w:rsidR="009C6850" w:rsidRPr="00C3327D" w:rsidRDefault="009C6850" w:rsidP="00D00077">
      <w:pPr>
        <w:pStyle w:val="Default"/>
        <w:numPr>
          <w:ilvl w:val="0"/>
          <w:numId w:val="9"/>
        </w:numPr>
        <w:spacing w:line="360" w:lineRule="auto"/>
        <w:ind w:left="0" w:firstLine="709"/>
        <w:jc w:val="both"/>
        <w:rPr>
          <w:color w:val="auto"/>
          <w:sz w:val="28"/>
          <w:szCs w:val="28"/>
        </w:rPr>
      </w:pPr>
      <w:r w:rsidRPr="00AD671E">
        <w:rPr>
          <w:b/>
          <w:i/>
          <w:iCs/>
          <w:color w:val="2F5496" w:themeColor="accent5" w:themeShade="BF"/>
          <w:sz w:val="28"/>
          <w:szCs w:val="28"/>
        </w:rPr>
        <w:t>Резерв належних виплат страхових сум</w:t>
      </w:r>
      <w:r w:rsidRPr="00AD671E">
        <w:rPr>
          <w:i/>
          <w:iCs/>
          <w:color w:val="2F5496" w:themeColor="accent5" w:themeShade="BF"/>
          <w:sz w:val="28"/>
          <w:szCs w:val="28"/>
        </w:rPr>
        <w:t xml:space="preserve"> </w:t>
      </w:r>
      <w:r w:rsidRPr="00C3327D">
        <w:rPr>
          <w:color w:val="auto"/>
          <w:sz w:val="28"/>
          <w:szCs w:val="28"/>
        </w:rPr>
        <w:t xml:space="preserve">складається з: </w:t>
      </w:r>
    </w:p>
    <w:p w:rsidR="009C6850" w:rsidRPr="00C3327D" w:rsidRDefault="009C6850" w:rsidP="00513878">
      <w:pPr>
        <w:pStyle w:val="Default"/>
        <w:spacing w:line="360" w:lineRule="auto"/>
        <w:ind w:firstLine="709"/>
        <w:jc w:val="both"/>
        <w:rPr>
          <w:color w:val="auto"/>
          <w:sz w:val="28"/>
          <w:szCs w:val="28"/>
        </w:rPr>
      </w:pPr>
      <w:r w:rsidRPr="00C3327D">
        <w:rPr>
          <w:color w:val="auto"/>
          <w:sz w:val="28"/>
          <w:szCs w:val="28"/>
        </w:rPr>
        <w:t xml:space="preserve">‒ резерву заявлених, але не врегульованих збитків; </w:t>
      </w:r>
    </w:p>
    <w:p w:rsidR="009C6850" w:rsidRPr="00C3327D" w:rsidRDefault="009C6850" w:rsidP="00513878">
      <w:pPr>
        <w:pStyle w:val="Default"/>
        <w:spacing w:line="360" w:lineRule="auto"/>
        <w:ind w:firstLine="709"/>
        <w:jc w:val="both"/>
        <w:rPr>
          <w:color w:val="auto"/>
          <w:sz w:val="28"/>
          <w:szCs w:val="28"/>
        </w:rPr>
      </w:pPr>
      <w:r w:rsidRPr="00C3327D">
        <w:rPr>
          <w:color w:val="auto"/>
          <w:sz w:val="28"/>
          <w:szCs w:val="28"/>
        </w:rPr>
        <w:t xml:space="preserve">‒ резерву збитків, що виникли, але не заявлені. </w:t>
      </w:r>
    </w:p>
    <w:p w:rsidR="009C6850" w:rsidRPr="00C3327D" w:rsidRDefault="009C6850" w:rsidP="00D00077">
      <w:pPr>
        <w:pStyle w:val="Default"/>
        <w:pageBreakBefore/>
        <w:numPr>
          <w:ilvl w:val="0"/>
          <w:numId w:val="9"/>
        </w:numPr>
        <w:spacing w:line="360" w:lineRule="auto"/>
        <w:ind w:left="0" w:firstLine="709"/>
        <w:jc w:val="both"/>
        <w:rPr>
          <w:color w:val="auto"/>
          <w:sz w:val="28"/>
          <w:szCs w:val="28"/>
        </w:rPr>
      </w:pPr>
      <w:r w:rsidRPr="00C3327D">
        <w:rPr>
          <w:color w:val="auto"/>
          <w:sz w:val="28"/>
          <w:szCs w:val="28"/>
        </w:rPr>
        <w:lastRenderedPageBreak/>
        <w:t xml:space="preserve">Розрахунок </w:t>
      </w:r>
      <w:r w:rsidRPr="00D00077">
        <w:rPr>
          <w:b/>
          <w:i/>
          <w:iCs/>
          <w:color w:val="2F5496" w:themeColor="accent5" w:themeShade="BF"/>
          <w:sz w:val="28"/>
          <w:szCs w:val="28"/>
        </w:rPr>
        <w:t>резерву заявлених, але не врегульованих збитків</w:t>
      </w:r>
      <w:r w:rsidRPr="00D00077">
        <w:rPr>
          <w:i/>
          <w:iCs/>
          <w:color w:val="2F5496" w:themeColor="accent5" w:themeShade="BF"/>
          <w:sz w:val="28"/>
          <w:szCs w:val="28"/>
        </w:rPr>
        <w:t xml:space="preserve"> </w:t>
      </w:r>
      <w:r w:rsidRPr="00C3327D">
        <w:rPr>
          <w:color w:val="auto"/>
          <w:sz w:val="28"/>
          <w:szCs w:val="28"/>
        </w:rPr>
        <w:t xml:space="preserve">здійснюється за кожним чинним на звітну дату договором окремо. Розрахунок резерву збитків, що виникли, але не заявлені, здійснюється за сукупністю договорів у цілому. Загальна величина резерву належних виплат страхових сум дорівнює сумі зазначених резервів.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Резерв заявлених, але не врегульованих збитків є оцінкою грошових зобов'язань страховика щодо страхових випадків, що мали місце у звітному або звітних періодах, що передують йому, але не були виконані або виконані не повністю на звітну дату.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Величина резерву заявлених, але не врегульованих збитків визначається у сумарному розмірі не сплачених на звітну дату грошових сум, що мають бути виплачені: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а) у зв'язку із страховими випадками, про факт настання яких заявлено страховику в установленому законодавством та договором порядку;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б) при настанні термінів здійснення виплат ануїтету, за якими (термінами) згідно з умовами договору не вимагається заява на виплату;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в) у зв'язку з достроковим припиненням дії договору або із змінами умов договору;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г) у зв'язку з настанням страхового випадку, який стався протягом звітного періоду або попередніх періодів, коли про факт дожиття застрахованої особи не було заявлено на звітну дату. </w:t>
      </w:r>
    </w:p>
    <w:p w:rsidR="009C6850" w:rsidRPr="00C3327D" w:rsidRDefault="00D00077" w:rsidP="00C3327D">
      <w:pPr>
        <w:pStyle w:val="Default"/>
        <w:spacing w:line="360" w:lineRule="auto"/>
        <w:ind w:firstLine="709"/>
        <w:jc w:val="both"/>
        <w:rPr>
          <w:color w:val="auto"/>
          <w:sz w:val="28"/>
          <w:szCs w:val="28"/>
        </w:rPr>
      </w:pPr>
      <w:r w:rsidRPr="00D00077">
        <w:rPr>
          <w:i/>
          <w:iCs/>
          <w:color w:val="auto"/>
          <w:sz w:val="28"/>
          <w:szCs w:val="28"/>
        </w:rPr>
        <w:t xml:space="preserve">7. </w:t>
      </w:r>
      <w:r w:rsidR="009C6850" w:rsidRPr="00D00077">
        <w:rPr>
          <w:b/>
          <w:i/>
          <w:iCs/>
          <w:color w:val="2F5496" w:themeColor="accent5" w:themeShade="BF"/>
          <w:sz w:val="28"/>
          <w:szCs w:val="28"/>
        </w:rPr>
        <w:t>Резерв збитків, що виникли, але не заявлені</w:t>
      </w:r>
      <w:r w:rsidR="009C6850" w:rsidRPr="00C3327D">
        <w:rPr>
          <w:color w:val="auto"/>
          <w:sz w:val="28"/>
          <w:szCs w:val="28"/>
        </w:rPr>
        <w:t xml:space="preserve">, є оцінкою грошових зобов'язань страховика, що виникли внаслідок смерті застрахованої особи, нещасного випадку та (або) хвороби щодо страхових випадків, які могли статися у звітному або звітних періодах, що передують йому, але не були заявлені на звітну дату.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Оцінка резерву збитків, що виникли, але не заявлені, здійснюється </w:t>
      </w:r>
      <w:proofErr w:type="spellStart"/>
      <w:r w:rsidRPr="00C3327D">
        <w:rPr>
          <w:color w:val="auto"/>
          <w:sz w:val="28"/>
          <w:szCs w:val="28"/>
        </w:rPr>
        <w:t>актуарними</w:t>
      </w:r>
      <w:proofErr w:type="spellEnd"/>
      <w:r w:rsidRPr="00C3327D">
        <w:rPr>
          <w:color w:val="auto"/>
          <w:sz w:val="28"/>
          <w:szCs w:val="28"/>
        </w:rPr>
        <w:t xml:space="preserve"> методами. </w:t>
      </w:r>
    </w:p>
    <w:p w:rsidR="009C6850" w:rsidRPr="00C3327D" w:rsidRDefault="009C6850" w:rsidP="00D00077">
      <w:pPr>
        <w:pStyle w:val="Default"/>
        <w:spacing w:line="360" w:lineRule="auto"/>
        <w:ind w:firstLine="709"/>
        <w:jc w:val="both"/>
        <w:rPr>
          <w:color w:val="auto"/>
          <w:sz w:val="28"/>
          <w:szCs w:val="28"/>
        </w:rPr>
      </w:pPr>
      <w:r w:rsidRPr="00C3327D">
        <w:rPr>
          <w:color w:val="auto"/>
          <w:sz w:val="28"/>
          <w:szCs w:val="28"/>
        </w:rPr>
        <w:t xml:space="preserve">З метою врахування витрат на укладання договору може здійснюватися модифікація резерву </w:t>
      </w:r>
      <w:proofErr w:type="spellStart"/>
      <w:r w:rsidRPr="00C3327D">
        <w:rPr>
          <w:color w:val="auto"/>
          <w:sz w:val="28"/>
          <w:szCs w:val="28"/>
        </w:rPr>
        <w:t>нетто</w:t>
      </w:r>
      <w:proofErr w:type="spellEnd"/>
      <w:r w:rsidRPr="00C3327D">
        <w:rPr>
          <w:color w:val="auto"/>
          <w:sz w:val="28"/>
          <w:szCs w:val="28"/>
        </w:rPr>
        <w:t xml:space="preserve">-премій. </w:t>
      </w:r>
      <w:r w:rsidR="00D00077">
        <w:rPr>
          <w:color w:val="auto"/>
          <w:sz w:val="28"/>
          <w:szCs w:val="28"/>
          <w:lang w:val="ru-RU"/>
        </w:rPr>
        <w:t>М</w:t>
      </w:r>
      <w:proofErr w:type="spellStart"/>
      <w:r w:rsidRPr="00C3327D">
        <w:rPr>
          <w:color w:val="auto"/>
          <w:sz w:val="28"/>
          <w:szCs w:val="28"/>
        </w:rPr>
        <w:t>одифікація</w:t>
      </w:r>
      <w:proofErr w:type="spellEnd"/>
      <w:r w:rsidRPr="00C3327D">
        <w:rPr>
          <w:color w:val="auto"/>
          <w:sz w:val="28"/>
          <w:szCs w:val="28"/>
        </w:rPr>
        <w:t xml:space="preserve"> резерву застосовується лише за умови сплати страхових премій частинами протягом не менше 3 років.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Модифікація резерву здійснюється шляхом зменшення розміру резерву </w:t>
      </w:r>
      <w:proofErr w:type="spellStart"/>
      <w:r w:rsidRPr="00C3327D">
        <w:rPr>
          <w:color w:val="auto"/>
          <w:sz w:val="28"/>
          <w:szCs w:val="28"/>
        </w:rPr>
        <w:t>нетто</w:t>
      </w:r>
      <w:proofErr w:type="spellEnd"/>
      <w:r w:rsidRPr="00C3327D">
        <w:rPr>
          <w:color w:val="auto"/>
          <w:sz w:val="28"/>
          <w:szCs w:val="28"/>
        </w:rPr>
        <w:t xml:space="preserve">-премій на фіксований для даного договору відсоток (рівень модифікації) </w:t>
      </w:r>
      <w:proofErr w:type="spellStart"/>
      <w:r w:rsidRPr="00C3327D">
        <w:rPr>
          <w:color w:val="auto"/>
          <w:sz w:val="28"/>
          <w:szCs w:val="28"/>
        </w:rPr>
        <w:t>актуарної</w:t>
      </w:r>
      <w:proofErr w:type="spellEnd"/>
      <w:r w:rsidRPr="00C3327D">
        <w:rPr>
          <w:color w:val="auto"/>
          <w:sz w:val="28"/>
          <w:szCs w:val="28"/>
        </w:rPr>
        <w:t xml:space="preserve"> вартості потоку майбутніх </w:t>
      </w:r>
      <w:proofErr w:type="spellStart"/>
      <w:r w:rsidRPr="00C3327D">
        <w:rPr>
          <w:color w:val="auto"/>
          <w:sz w:val="28"/>
          <w:szCs w:val="28"/>
        </w:rPr>
        <w:t>нетто</w:t>
      </w:r>
      <w:proofErr w:type="spellEnd"/>
      <w:r w:rsidRPr="00C3327D">
        <w:rPr>
          <w:color w:val="auto"/>
          <w:sz w:val="28"/>
          <w:szCs w:val="28"/>
        </w:rPr>
        <w:t xml:space="preserve">-премій. </w:t>
      </w:r>
    </w:p>
    <w:p w:rsidR="009C6850" w:rsidRPr="00C3327D" w:rsidRDefault="009C6850" w:rsidP="00C3327D">
      <w:pPr>
        <w:pStyle w:val="Default"/>
        <w:spacing w:line="360" w:lineRule="auto"/>
        <w:ind w:firstLine="709"/>
        <w:jc w:val="both"/>
        <w:rPr>
          <w:color w:val="auto"/>
          <w:sz w:val="28"/>
          <w:szCs w:val="28"/>
        </w:rPr>
      </w:pPr>
      <w:r w:rsidRPr="00C3327D">
        <w:rPr>
          <w:color w:val="auto"/>
          <w:sz w:val="28"/>
          <w:szCs w:val="28"/>
        </w:rPr>
        <w:t xml:space="preserve">Процедура модифікації повинна відповідати таким загальним вимогам: </w:t>
      </w:r>
    </w:p>
    <w:p w:rsidR="009C6850" w:rsidRPr="00C3327D" w:rsidRDefault="009C6850" w:rsidP="00D00077">
      <w:pPr>
        <w:pStyle w:val="Default"/>
        <w:spacing w:line="360" w:lineRule="auto"/>
        <w:ind w:firstLine="720"/>
        <w:jc w:val="both"/>
        <w:rPr>
          <w:color w:val="auto"/>
          <w:sz w:val="28"/>
          <w:szCs w:val="28"/>
        </w:rPr>
      </w:pPr>
      <w:r w:rsidRPr="00C3327D">
        <w:rPr>
          <w:color w:val="auto"/>
          <w:sz w:val="28"/>
          <w:szCs w:val="28"/>
        </w:rPr>
        <w:lastRenderedPageBreak/>
        <w:t xml:space="preserve">‒ на кінець першої страхової річниці модифікований резерв не повинен бути від'ємним; </w:t>
      </w:r>
    </w:p>
    <w:p w:rsidR="009C6850" w:rsidRPr="00C3327D" w:rsidRDefault="009C6850" w:rsidP="00D00077">
      <w:pPr>
        <w:pStyle w:val="Default"/>
        <w:spacing w:line="360" w:lineRule="auto"/>
        <w:ind w:firstLine="720"/>
        <w:jc w:val="both"/>
        <w:rPr>
          <w:color w:val="auto"/>
          <w:sz w:val="28"/>
          <w:szCs w:val="28"/>
        </w:rPr>
      </w:pPr>
      <w:r w:rsidRPr="00C3327D">
        <w:rPr>
          <w:color w:val="auto"/>
          <w:sz w:val="28"/>
          <w:szCs w:val="28"/>
        </w:rPr>
        <w:t xml:space="preserve">‒ рівень модифікації не повинен перевищувати 5 відсотків. </w:t>
      </w:r>
    </w:p>
    <w:p w:rsidR="009C6850" w:rsidRPr="00C3327D" w:rsidRDefault="009C6850" w:rsidP="00D00077">
      <w:pPr>
        <w:pStyle w:val="Default"/>
        <w:spacing w:line="360" w:lineRule="auto"/>
        <w:ind w:firstLine="720"/>
        <w:jc w:val="both"/>
        <w:rPr>
          <w:color w:val="auto"/>
          <w:sz w:val="28"/>
          <w:szCs w:val="28"/>
        </w:rPr>
      </w:pPr>
    </w:p>
    <w:p w:rsidR="009C6850" w:rsidRPr="00C3327D" w:rsidRDefault="009C6850" w:rsidP="00D00077">
      <w:pPr>
        <w:pStyle w:val="Default"/>
        <w:spacing w:line="360" w:lineRule="auto"/>
        <w:ind w:firstLine="720"/>
        <w:jc w:val="both"/>
        <w:rPr>
          <w:color w:val="auto"/>
          <w:sz w:val="28"/>
          <w:szCs w:val="28"/>
        </w:rPr>
      </w:pPr>
      <w:r w:rsidRPr="00C3327D">
        <w:rPr>
          <w:color w:val="auto"/>
          <w:sz w:val="28"/>
          <w:szCs w:val="28"/>
        </w:rPr>
        <w:t xml:space="preserve">Якщо протягом першого страхового року модифікований резерв набирає від'ємного значення, вважається, що він має нульове значення. </w:t>
      </w:r>
    </w:p>
    <w:p w:rsidR="009C6850" w:rsidRPr="00C3327D" w:rsidRDefault="009C6850" w:rsidP="00D00077">
      <w:pPr>
        <w:pStyle w:val="Default"/>
        <w:spacing w:line="360" w:lineRule="auto"/>
        <w:ind w:firstLine="720"/>
        <w:jc w:val="both"/>
        <w:rPr>
          <w:color w:val="auto"/>
          <w:sz w:val="28"/>
          <w:szCs w:val="28"/>
        </w:rPr>
      </w:pPr>
      <w:r w:rsidRPr="00C3327D">
        <w:rPr>
          <w:i/>
          <w:iCs/>
          <w:color w:val="auto"/>
          <w:sz w:val="28"/>
          <w:szCs w:val="28"/>
        </w:rPr>
        <w:t xml:space="preserve">Базис розрахунку математичних резервів </w:t>
      </w:r>
      <w:r w:rsidRPr="00C3327D">
        <w:rPr>
          <w:color w:val="auto"/>
          <w:sz w:val="28"/>
          <w:szCs w:val="28"/>
        </w:rPr>
        <w:t xml:space="preserve">встановлюється страховиком і включає: </w:t>
      </w:r>
    </w:p>
    <w:p w:rsidR="009C6850" w:rsidRPr="00C3327D" w:rsidRDefault="009C6850" w:rsidP="00D00077">
      <w:pPr>
        <w:pStyle w:val="Default"/>
        <w:spacing w:line="360" w:lineRule="auto"/>
        <w:ind w:firstLine="720"/>
        <w:jc w:val="both"/>
        <w:rPr>
          <w:color w:val="auto"/>
          <w:sz w:val="28"/>
          <w:szCs w:val="28"/>
        </w:rPr>
      </w:pPr>
      <w:r w:rsidRPr="00C3327D">
        <w:rPr>
          <w:color w:val="auto"/>
          <w:sz w:val="28"/>
          <w:szCs w:val="28"/>
        </w:rPr>
        <w:t xml:space="preserve">‒ демографічні показники тривалості життя (таблиці смертності); </w:t>
      </w:r>
    </w:p>
    <w:p w:rsidR="009C6850" w:rsidRPr="00C3327D" w:rsidRDefault="009C6850" w:rsidP="00D00077">
      <w:pPr>
        <w:pStyle w:val="Default"/>
        <w:spacing w:line="360" w:lineRule="auto"/>
        <w:ind w:firstLine="720"/>
        <w:jc w:val="both"/>
        <w:rPr>
          <w:color w:val="auto"/>
          <w:sz w:val="28"/>
          <w:szCs w:val="28"/>
        </w:rPr>
      </w:pPr>
      <w:r w:rsidRPr="00C3327D">
        <w:rPr>
          <w:color w:val="auto"/>
          <w:sz w:val="28"/>
          <w:szCs w:val="28"/>
        </w:rPr>
        <w:t xml:space="preserve">‒ ймовірності настання ризиків певної хвороби та (або) нещасного випадку чи їх наслідків, якщо страхування на випадок настання таких подій передбачене правилами страхування; </w:t>
      </w:r>
    </w:p>
    <w:p w:rsidR="009C6850" w:rsidRPr="00C3327D" w:rsidRDefault="009C6850" w:rsidP="00D00077">
      <w:pPr>
        <w:pStyle w:val="Default"/>
        <w:spacing w:line="360" w:lineRule="auto"/>
        <w:ind w:firstLine="720"/>
        <w:jc w:val="both"/>
        <w:rPr>
          <w:color w:val="auto"/>
          <w:sz w:val="28"/>
          <w:szCs w:val="28"/>
        </w:rPr>
      </w:pPr>
      <w:r w:rsidRPr="00C3327D">
        <w:rPr>
          <w:color w:val="auto"/>
          <w:sz w:val="28"/>
          <w:szCs w:val="28"/>
        </w:rPr>
        <w:t xml:space="preserve">‒ річну ставку інвестиційного доходу. </w:t>
      </w:r>
    </w:p>
    <w:p w:rsidR="009C6850" w:rsidRPr="00C3327D" w:rsidRDefault="009C6850" w:rsidP="00D00077">
      <w:pPr>
        <w:pStyle w:val="Default"/>
        <w:spacing w:line="360" w:lineRule="auto"/>
        <w:ind w:firstLine="720"/>
        <w:jc w:val="both"/>
        <w:rPr>
          <w:color w:val="auto"/>
          <w:sz w:val="28"/>
          <w:szCs w:val="28"/>
        </w:rPr>
      </w:pPr>
    </w:p>
    <w:p w:rsidR="009C6850" w:rsidRPr="00C3327D" w:rsidRDefault="009C6850" w:rsidP="00D00077">
      <w:pPr>
        <w:pStyle w:val="Default"/>
        <w:spacing w:line="360" w:lineRule="auto"/>
        <w:ind w:firstLine="720"/>
        <w:jc w:val="both"/>
        <w:rPr>
          <w:color w:val="auto"/>
          <w:sz w:val="28"/>
          <w:szCs w:val="28"/>
        </w:rPr>
      </w:pPr>
      <w:r w:rsidRPr="00C3327D">
        <w:rPr>
          <w:color w:val="auto"/>
          <w:sz w:val="28"/>
          <w:szCs w:val="28"/>
        </w:rPr>
        <w:t xml:space="preserve">Річна ставка інвестиційного </w:t>
      </w:r>
      <w:r w:rsidR="000A75C3">
        <w:rPr>
          <w:color w:val="auto"/>
          <w:sz w:val="28"/>
          <w:szCs w:val="28"/>
        </w:rPr>
        <w:t>доходу не може перевищувати 4 %</w:t>
      </w:r>
      <w:r w:rsidRPr="00C3327D">
        <w:rPr>
          <w:color w:val="auto"/>
          <w:sz w:val="28"/>
          <w:szCs w:val="28"/>
        </w:rPr>
        <w:t xml:space="preserve">. </w:t>
      </w:r>
    </w:p>
    <w:p w:rsidR="009C6850" w:rsidRPr="00C3327D" w:rsidRDefault="009C6850" w:rsidP="00D00077">
      <w:pPr>
        <w:pStyle w:val="Default"/>
        <w:spacing w:line="360" w:lineRule="auto"/>
        <w:ind w:firstLine="720"/>
        <w:jc w:val="both"/>
        <w:rPr>
          <w:color w:val="auto"/>
          <w:sz w:val="28"/>
          <w:szCs w:val="28"/>
        </w:rPr>
      </w:pPr>
      <w:r w:rsidRPr="00C3327D">
        <w:rPr>
          <w:color w:val="auto"/>
          <w:sz w:val="28"/>
          <w:szCs w:val="28"/>
        </w:rPr>
        <w:t xml:space="preserve">Базиси розрахунку математичних резервів за групами договорів можуть відрізнятися. </w:t>
      </w:r>
    </w:p>
    <w:p w:rsidR="000A75C3" w:rsidRDefault="000A75C3" w:rsidP="00D00077">
      <w:pPr>
        <w:pStyle w:val="Default"/>
        <w:spacing w:line="360" w:lineRule="auto"/>
        <w:ind w:firstLine="720"/>
        <w:rPr>
          <w:color w:val="auto"/>
          <w:sz w:val="28"/>
          <w:szCs w:val="28"/>
        </w:rPr>
      </w:pPr>
    </w:p>
    <w:p w:rsidR="009C6850" w:rsidRDefault="009C6850" w:rsidP="00D00077">
      <w:pPr>
        <w:pStyle w:val="Default"/>
        <w:spacing w:line="360" w:lineRule="auto"/>
        <w:ind w:firstLine="720"/>
        <w:rPr>
          <w:color w:val="auto"/>
          <w:sz w:val="28"/>
          <w:szCs w:val="28"/>
        </w:rPr>
      </w:pPr>
      <w:r>
        <w:rPr>
          <w:color w:val="auto"/>
          <w:sz w:val="28"/>
          <w:szCs w:val="28"/>
        </w:rPr>
        <w:t>3</w:t>
      </w:r>
      <w:r w:rsidRPr="000A75C3">
        <w:rPr>
          <w:b/>
          <w:color w:val="auto"/>
          <w:sz w:val="28"/>
          <w:szCs w:val="28"/>
        </w:rPr>
        <w:t>.3 Розміщення страхових резервів</w:t>
      </w:r>
      <w:r>
        <w:rPr>
          <w:color w:val="auto"/>
          <w:sz w:val="28"/>
          <w:szCs w:val="28"/>
        </w:rPr>
        <w:t xml:space="preserve"> </w:t>
      </w:r>
    </w:p>
    <w:p w:rsidR="009C6850" w:rsidRDefault="009C6850" w:rsidP="00E33D51">
      <w:pPr>
        <w:pStyle w:val="Default"/>
        <w:spacing w:line="360" w:lineRule="auto"/>
        <w:ind w:firstLine="720"/>
        <w:jc w:val="both"/>
        <w:rPr>
          <w:color w:val="auto"/>
          <w:sz w:val="28"/>
          <w:szCs w:val="28"/>
        </w:rPr>
      </w:pPr>
      <w:r>
        <w:rPr>
          <w:color w:val="auto"/>
          <w:sz w:val="28"/>
          <w:szCs w:val="28"/>
        </w:rPr>
        <w:t xml:space="preserve">Відповідно до ст. 31 Закону України «Про страхування» розміщення страхових резервів здійснюється страховиками на умовах диверсифікації, повернення, </w:t>
      </w:r>
      <w:r w:rsidR="000A75C3" w:rsidRPr="000A75C3">
        <w:rPr>
          <w:color w:val="auto"/>
          <w:sz w:val="28"/>
          <w:szCs w:val="28"/>
        </w:rPr>
        <w:t xml:space="preserve"> </w:t>
      </w:r>
      <w:r w:rsidR="000A75C3">
        <w:rPr>
          <w:color w:val="auto"/>
          <w:sz w:val="28"/>
          <w:szCs w:val="28"/>
        </w:rPr>
        <w:t>прибутковості</w:t>
      </w:r>
      <w:r>
        <w:rPr>
          <w:color w:val="auto"/>
          <w:sz w:val="28"/>
          <w:szCs w:val="28"/>
        </w:rPr>
        <w:t xml:space="preserve"> та ліквідності. </w:t>
      </w:r>
    </w:p>
    <w:p w:rsidR="009C6850" w:rsidRDefault="009C6850" w:rsidP="00E33D51">
      <w:pPr>
        <w:pStyle w:val="Default"/>
        <w:spacing w:line="360" w:lineRule="auto"/>
        <w:ind w:firstLine="720"/>
        <w:jc w:val="both"/>
        <w:rPr>
          <w:color w:val="auto"/>
          <w:sz w:val="28"/>
          <w:szCs w:val="28"/>
        </w:rPr>
      </w:pPr>
      <w:r>
        <w:rPr>
          <w:color w:val="auto"/>
          <w:sz w:val="28"/>
          <w:szCs w:val="28"/>
        </w:rPr>
        <w:t xml:space="preserve">Також відповідно до цієї статті кошти страхових резервів мають бути представлені активами таких категорій, як: </w:t>
      </w:r>
    </w:p>
    <w:p w:rsidR="000A75C3" w:rsidRDefault="009C6850" w:rsidP="00E33D51">
      <w:pPr>
        <w:pStyle w:val="Default"/>
        <w:spacing w:line="360" w:lineRule="auto"/>
        <w:ind w:firstLine="720"/>
        <w:jc w:val="both"/>
        <w:rPr>
          <w:color w:val="auto"/>
          <w:sz w:val="28"/>
          <w:szCs w:val="28"/>
        </w:rPr>
      </w:pPr>
      <w:r>
        <w:rPr>
          <w:color w:val="auto"/>
          <w:sz w:val="28"/>
          <w:szCs w:val="28"/>
        </w:rPr>
        <w:t>‒ грошові кошти на поточному рахунку;</w:t>
      </w:r>
    </w:p>
    <w:p w:rsidR="000A75C3" w:rsidRDefault="009C6850" w:rsidP="00E33D51">
      <w:pPr>
        <w:pStyle w:val="Default"/>
        <w:spacing w:line="360" w:lineRule="auto"/>
        <w:ind w:firstLine="720"/>
        <w:jc w:val="both"/>
        <w:rPr>
          <w:color w:val="auto"/>
          <w:sz w:val="28"/>
          <w:szCs w:val="28"/>
        </w:rPr>
      </w:pPr>
      <w:r>
        <w:rPr>
          <w:color w:val="auto"/>
          <w:sz w:val="28"/>
          <w:szCs w:val="28"/>
        </w:rPr>
        <w:t>‒ банківські вклади (депозити);</w:t>
      </w:r>
    </w:p>
    <w:p w:rsidR="000A75C3" w:rsidRDefault="009C6850" w:rsidP="00E33D51">
      <w:pPr>
        <w:pStyle w:val="Default"/>
        <w:spacing w:line="360" w:lineRule="auto"/>
        <w:ind w:firstLine="720"/>
        <w:jc w:val="both"/>
        <w:rPr>
          <w:color w:val="auto"/>
          <w:sz w:val="28"/>
          <w:szCs w:val="28"/>
        </w:rPr>
      </w:pPr>
      <w:r>
        <w:rPr>
          <w:color w:val="auto"/>
          <w:sz w:val="28"/>
          <w:szCs w:val="28"/>
        </w:rPr>
        <w:t xml:space="preserve">‒ валютні вкладення згідно з валютою страхування; </w:t>
      </w:r>
    </w:p>
    <w:p w:rsidR="000A75C3" w:rsidRDefault="009C6850" w:rsidP="00E33D51">
      <w:pPr>
        <w:pStyle w:val="Default"/>
        <w:spacing w:line="360" w:lineRule="auto"/>
        <w:ind w:firstLine="720"/>
        <w:jc w:val="both"/>
        <w:rPr>
          <w:color w:val="auto"/>
          <w:sz w:val="28"/>
          <w:szCs w:val="28"/>
        </w:rPr>
      </w:pPr>
      <w:r>
        <w:rPr>
          <w:color w:val="auto"/>
          <w:sz w:val="28"/>
          <w:szCs w:val="28"/>
        </w:rPr>
        <w:t>‒ нерухоме майно;</w:t>
      </w:r>
    </w:p>
    <w:p w:rsidR="000A75C3" w:rsidRDefault="009C6850" w:rsidP="00E33D51">
      <w:pPr>
        <w:pStyle w:val="Default"/>
        <w:spacing w:line="360" w:lineRule="auto"/>
        <w:ind w:firstLine="720"/>
        <w:jc w:val="both"/>
        <w:rPr>
          <w:color w:val="auto"/>
          <w:sz w:val="28"/>
          <w:szCs w:val="28"/>
        </w:rPr>
      </w:pPr>
      <w:r>
        <w:rPr>
          <w:color w:val="auto"/>
          <w:sz w:val="28"/>
          <w:szCs w:val="28"/>
        </w:rPr>
        <w:t>‒ акції, облігації, іпотечні сертифікати;</w:t>
      </w:r>
    </w:p>
    <w:p w:rsidR="000A75C3" w:rsidRDefault="009C6850" w:rsidP="00E33D51">
      <w:pPr>
        <w:pStyle w:val="Default"/>
        <w:spacing w:line="360" w:lineRule="auto"/>
        <w:ind w:firstLine="720"/>
        <w:jc w:val="both"/>
        <w:rPr>
          <w:color w:val="auto"/>
          <w:sz w:val="28"/>
          <w:szCs w:val="28"/>
        </w:rPr>
      </w:pPr>
      <w:r>
        <w:rPr>
          <w:color w:val="auto"/>
          <w:sz w:val="28"/>
          <w:szCs w:val="28"/>
        </w:rPr>
        <w:t>‒ цінні папери, що імітуються державою</w:t>
      </w:r>
      <w:r w:rsidR="000A75C3">
        <w:rPr>
          <w:color w:val="auto"/>
          <w:sz w:val="28"/>
          <w:szCs w:val="28"/>
        </w:rPr>
        <w:t>;</w:t>
      </w:r>
    </w:p>
    <w:p w:rsidR="000A75C3" w:rsidRDefault="009C6850" w:rsidP="00E33D51">
      <w:pPr>
        <w:pStyle w:val="Default"/>
        <w:spacing w:line="360" w:lineRule="auto"/>
        <w:ind w:firstLine="720"/>
        <w:jc w:val="both"/>
        <w:rPr>
          <w:color w:val="auto"/>
          <w:sz w:val="28"/>
          <w:szCs w:val="28"/>
        </w:rPr>
      </w:pPr>
      <w:r>
        <w:rPr>
          <w:color w:val="auto"/>
          <w:sz w:val="28"/>
          <w:szCs w:val="28"/>
        </w:rPr>
        <w:t>‒ права вимоги до перестраховиків;</w:t>
      </w:r>
    </w:p>
    <w:p w:rsidR="000A75C3" w:rsidRDefault="009C6850" w:rsidP="000A75C3">
      <w:pPr>
        <w:pStyle w:val="Default"/>
        <w:spacing w:line="360" w:lineRule="auto"/>
        <w:ind w:firstLine="720"/>
        <w:rPr>
          <w:color w:val="auto"/>
          <w:sz w:val="28"/>
          <w:szCs w:val="28"/>
        </w:rPr>
      </w:pPr>
      <w:r>
        <w:rPr>
          <w:color w:val="auto"/>
          <w:sz w:val="28"/>
          <w:szCs w:val="28"/>
        </w:rPr>
        <w:lastRenderedPageBreak/>
        <w:t>‒ інвестиції в економіку України за напрямами, визначеними Кабінетом Міністрів України;</w:t>
      </w:r>
    </w:p>
    <w:p w:rsidR="009C6850" w:rsidRDefault="009C6850" w:rsidP="000A75C3">
      <w:pPr>
        <w:pStyle w:val="Default"/>
        <w:spacing w:line="360" w:lineRule="auto"/>
        <w:ind w:firstLine="720"/>
        <w:rPr>
          <w:color w:val="auto"/>
          <w:sz w:val="28"/>
          <w:szCs w:val="28"/>
        </w:rPr>
      </w:pPr>
      <w:r>
        <w:rPr>
          <w:color w:val="auto"/>
          <w:sz w:val="28"/>
          <w:szCs w:val="28"/>
        </w:rPr>
        <w:t xml:space="preserve">‒ банківські метали; </w:t>
      </w:r>
    </w:p>
    <w:p w:rsidR="009C6850" w:rsidRDefault="009C6850" w:rsidP="00E33D51">
      <w:pPr>
        <w:pStyle w:val="Default"/>
        <w:spacing w:line="360" w:lineRule="auto"/>
        <w:ind w:firstLine="709"/>
        <w:jc w:val="both"/>
        <w:rPr>
          <w:color w:val="auto"/>
          <w:sz w:val="28"/>
          <w:szCs w:val="28"/>
        </w:rPr>
      </w:pPr>
      <w:r>
        <w:rPr>
          <w:color w:val="auto"/>
          <w:sz w:val="28"/>
          <w:szCs w:val="28"/>
        </w:rPr>
        <w:t xml:space="preserve">‒ кредити страхувальникам – фізичним особам, що уклали договори страхування життя, в межах викупної суми на момент видачі кредиту та під заставу викупної суми. У цьому разі кредит не може бути видано раніше, ніж через один рік після набрання чинності договором страхування, та на строк, який перевищує період, що залишився до закінчення дії договору страхування. Страховикам забороняється здійснення інших видів кредитної діяльності; </w:t>
      </w:r>
    </w:p>
    <w:p w:rsidR="009C6850" w:rsidRDefault="009C6850" w:rsidP="00E33D51">
      <w:pPr>
        <w:pStyle w:val="Default"/>
        <w:spacing w:line="360" w:lineRule="auto"/>
        <w:ind w:firstLine="709"/>
        <w:jc w:val="both"/>
        <w:rPr>
          <w:color w:val="auto"/>
          <w:sz w:val="28"/>
          <w:szCs w:val="28"/>
        </w:rPr>
      </w:pPr>
      <w:r>
        <w:rPr>
          <w:color w:val="auto"/>
          <w:sz w:val="28"/>
          <w:szCs w:val="28"/>
        </w:rPr>
        <w:t xml:space="preserve">‒ готівка в касі в обсягах лімітів залишків каси, встановлених Національним банком України. </w:t>
      </w:r>
    </w:p>
    <w:p w:rsidR="009C6850" w:rsidRDefault="009C6850" w:rsidP="000A75C3">
      <w:pPr>
        <w:pStyle w:val="Default"/>
        <w:spacing w:line="360" w:lineRule="auto"/>
        <w:ind w:firstLine="709"/>
        <w:jc w:val="both"/>
        <w:rPr>
          <w:color w:val="auto"/>
          <w:sz w:val="28"/>
          <w:szCs w:val="28"/>
        </w:rPr>
      </w:pPr>
      <w:r>
        <w:rPr>
          <w:color w:val="auto"/>
          <w:sz w:val="28"/>
          <w:szCs w:val="28"/>
        </w:rPr>
        <w:t xml:space="preserve">Умови диверсифікації зазначені у Положенні 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 </w:t>
      </w:r>
    </w:p>
    <w:p w:rsidR="009C6850" w:rsidRDefault="009C6850" w:rsidP="00C660F5">
      <w:pPr>
        <w:pStyle w:val="Default"/>
        <w:spacing w:line="360" w:lineRule="auto"/>
        <w:ind w:firstLine="709"/>
        <w:jc w:val="both"/>
        <w:rPr>
          <w:color w:val="auto"/>
          <w:sz w:val="28"/>
          <w:szCs w:val="28"/>
        </w:rPr>
      </w:pPr>
      <w:r>
        <w:rPr>
          <w:i/>
          <w:iCs/>
          <w:color w:val="auto"/>
          <w:sz w:val="28"/>
          <w:szCs w:val="28"/>
        </w:rPr>
        <w:t xml:space="preserve">Норматив ризиковості операцій </w:t>
      </w:r>
      <w:r>
        <w:rPr>
          <w:color w:val="auto"/>
          <w:sz w:val="28"/>
          <w:szCs w:val="28"/>
        </w:rPr>
        <w:t xml:space="preserve">– сума прийнятних активів, які відповідають вимогам диверсифікації, яка на будь-яку дату має бути не меншою нормативного обсягу активів, що визначається як розмір страхових резервів, які розраховуються відповідно до законодавства . </w:t>
      </w:r>
    </w:p>
    <w:p w:rsidR="009C6850" w:rsidRDefault="009C6850" w:rsidP="00C660F5">
      <w:pPr>
        <w:pStyle w:val="Default"/>
        <w:spacing w:line="360" w:lineRule="auto"/>
        <w:ind w:firstLine="709"/>
        <w:jc w:val="both"/>
        <w:rPr>
          <w:color w:val="auto"/>
          <w:sz w:val="28"/>
          <w:szCs w:val="28"/>
        </w:rPr>
      </w:pPr>
      <w:r>
        <w:rPr>
          <w:i/>
          <w:iCs/>
          <w:color w:val="auto"/>
          <w:sz w:val="28"/>
          <w:szCs w:val="28"/>
        </w:rPr>
        <w:t xml:space="preserve">Норматив якості активів </w:t>
      </w:r>
      <w:r>
        <w:rPr>
          <w:color w:val="auto"/>
          <w:sz w:val="28"/>
          <w:szCs w:val="28"/>
        </w:rPr>
        <w:t xml:space="preserve">– сума активів, що визначені як </w:t>
      </w:r>
      <w:proofErr w:type="spellStart"/>
      <w:r>
        <w:rPr>
          <w:color w:val="auto"/>
          <w:sz w:val="28"/>
          <w:szCs w:val="28"/>
        </w:rPr>
        <w:t>низькоризикові</w:t>
      </w:r>
      <w:proofErr w:type="spellEnd"/>
      <w:r>
        <w:rPr>
          <w:color w:val="auto"/>
          <w:sz w:val="28"/>
          <w:szCs w:val="28"/>
        </w:rPr>
        <w:t xml:space="preserve"> активи, яка на будь-яку дату має бути не меншою нормативного обсягу активів, який визначається (таблиця 3.2</w:t>
      </w:r>
      <w:r w:rsidR="00F30396">
        <w:rPr>
          <w:color w:val="auto"/>
          <w:sz w:val="28"/>
          <w:szCs w:val="28"/>
          <w:lang w:val="ru-RU"/>
        </w:rPr>
        <w:t>.</w:t>
      </w:r>
      <w:r w:rsidR="00EF4266">
        <w:rPr>
          <w:color w:val="auto"/>
          <w:sz w:val="28"/>
          <w:szCs w:val="28"/>
          <w:lang w:val="ru-RU"/>
        </w:rPr>
        <w:t>3</w:t>
      </w:r>
      <w:r>
        <w:rPr>
          <w:color w:val="auto"/>
          <w:sz w:val="28"/>
          <w:szCs w:val="28"/>
        </w:rPr>
        <w:t xml:space="preserve">). </w:t>
      </w:r>
    </w:p>
    <w:p w:rsidR="009C6850" w:rsidRDefault="009C6850" w:rsidP="00C660F5">
      <w:pPr>
        <w:pStyle w:val="Default"/>
        <w:spacing w:line="360" w:lineRule="auto"/>
        <w:ind w:firstLine="709"/>
        <w:jc w:val="both"/>
        <w:rPr>
          <w:color w:val="auto"/>
          <w:sz w:val="28"/>
          <w:szCs w:val="28"/>
        </w:rPr>
      </w:pPr>
      <w:r>
        <w:rPr>
          <w:color w:val="auto"/>
          <w:sz w:val="28"/>
          <w:szCs w:val="28"/>
        </w:rPr>
        <w:t xml:space="preserve">Відповідно до Положення </w:t>
      </w:r>
      <w:proofErr w:type="spellStart"/>
      <w:r>
        <w:rPr>
          <w:color w:val="auto"/>
          <w:sz w:val="28"/>
          <w:szCs w:val="28"/>
        </w:rPr>
        <w:t>низькоризиковими</w:t>
      </w:r>
      <w:proofErr w:type="spellEnd"/>
      <w:r>
        <w:rPr>
          <w:color w:val="auto"/>
          <w:sz w:val="28"/>
          <w:szCs w:val="28"/>
        </w:rPr>
        <w:t xml:space="preserve"> активами визнаються (з урахуванням вимог та обмежень див. табл. 3.</w:t>
      </w:r>
      <w:r w:rsidR="00EF4266">
        <w:rPr>
          <w:color w:val="auto"/>
          <w:sz w:val="28"/>
          <w:szCs w:val="28"/>
          <w:lang w:val="ru-RU"/>
        </w:rPr>
        <w:t>2.2.</w:t>
      </w:r>
      <w:r>
        <w:rPr>
          <w:color w:val="auto"/>
          <w:sz w:val="28"/>
          <w:szCs w:val="28"/>
        </w:rPr>
        <w:t xml:space="preserve">) такі активи: </w:t>
      </w:r>
    </w:p>
    <w:p w:rsidR="009C6850" w:rsidRDefault="009C6850" w:rsidP="00C660F5">
      <w:pPr>
        <w:pStyle w:val="Default"/>
        <w:spacing w:line="360" w:lineRule="auto"/>
        <w:ind w:firstLine="709"/>
        <w:jc w:val="both"/>
        <w:rPr>
          <w:color w:val="auto"/>
          <w:sz w:val="28"/>
          <w:szCs w:val="28"/>
        </w:rPr>
      </w:pPr>
      <w:r>
        <w:rPr>
          <w:color w:val="auto"/>
          <w:sz w:val="28"/>
          <w:szCs w:val="28"/>
        </w:rPr>
        <w:t xml:space="preserve">‒ цінні папери, емітентом яких є держава; </w:t>
      </w:r>
    </w:p>
    <w:p w:rsidR="00E33D51" w:rsidRPr="00E33D51" w:rsidRDefault="00E33D51" w:rsidP="00E33D51">
      <w:pPr>
        <w:pStyle w:val="Default"/>
        <w:spacing w:line="360" w:lineRule="auto"/>
        <w:ind w:firstLine="709"/>
        <w:jc w:val="both"/>
        <w:rPr>
          <w:color w:val="auto"/>
          <w:sz w:val="28"/>
          <w:szCs w:val="28"/>
        </w:rPr>
      </w:pPr>
      <w:r w:rsidRPr="00E33D51">
        <w:rPr>
          <w:color w:val="auto"/>
          <w:sz w:val="28"/>
          <w:szCs w:val="28"/>
        </w:rPr>
        <w:t>‒ кошти, розміщені в банках, які мають кредитний рейтинг не нижче ніж АА за національною рейтинговою шкалою;</w:t>
      </w:r>
    </w:p>
    <w:p w:rsidR="00E33D51" w:rsidRPr="00E33D51" w:rsidRDefault="00E33D51" w:rsidP="00E33D51">
      <w:pPr>
        <w:pStyle w:val="Default"/>
        <w:spacing w:line="360" w:lineRule="auto"/>
        <w:ind w:firstLine="709"/>
        <w:jc w:val="both"/>
        <w:rPr>
          <w:color w:val="auto"/>
          <w:sz w:val="28"/>
          <w:szCs w:val="28"/>
        </w:rPr>
      </w:pPr>
      <w:r w:rsidRPr="00E33D51">
        <w:rPr>
          <w:color w:val="auto"/>
          <w:sz w:val="28"/>
          <w:szCs w:val="28"/>
        </w:rPr>
        <w:t>‒ облігації, емітентом яких є банк, який має кредитний рейтинг не нижче ніж АА за національною рейтинговою шкалою;</w:t>
      </w:r>
    </w:p>
    <w:p w:rsidR="00E33D51" w:rsidRDefault="00E33D51" w:rsidP="00E33D51">
      <w:pPr>
        <w:pStyle w:val="Default"/>
        <w:spacing w:line="360" w:lineRule="auto"/>
        <w:ind w:firstLine="709"/>
        <w:jc w:val="both"/>
        <w:rPr>
          <w:color w:val="auto"/>
          <w:sz w:val="28"/>
          <w:szCs w:val="28"/>
        </w:rPr>
      </w:pPr>
      <w:r w:rsidRPr="00E33D51">
        <w:rPr>
          <w:color w:val="auto"/>
          <w:sz w:val="28"/>
          <w:szCs w:val="28"/>
        </w:rPr>
        <w:t>‒ облігації міжнародних фінансових організацій;</w:t>
      </w:r>
    </w:p>
    <w:p w:rsidR="00F30396" w:rsidRDefault="00F30396" w:rsidP="00E33D51">
      <w:pPr>
        <w:pStyle w:val="Default"/>
        <w:spacing w:line="360" w:lineRule="auto"/>
        <w:ind w:firstLine="709"/>
        <w:jc w:val="both"/>
        <w:rPr>
          <w:color w:val="auto"/>
          <w:sz w:val="28"/>
          <w:szCs w:val="28"/>
        </w:rPr>
      </w:pPr>
    </w:p>
    <w:p w:rsidR="00F30396" w:rsidRDefault="00F30396" w:rsidP="00E33D51">
      <w:pPr>
        <w:pStyle w:val="Default"/>
        <w:spacing w:line="360" w:lineRule="auto"/>
        <w:ind w:firstLine="709"/>
        <w:jc w:val="both"/>
        <w:rPr>
          <w:color w:val="auto"/>
          <w:sz w:val="28"/>
          <w:szCs w:val="28"/>
        </w:rPr>
      </w:pPr>
    </w:p>
    <w:p w:rsidR="00F30396" w:rsidRDefault="00F30396" w:rsidP="00E33D51">
      <w:pPr>
        <w:pStyle w:val="Default"/>
        <w:spacing w:line="360" w:lineRule="auto"/>
        <w:ind w:firstLine="709"/>
        <w:jc w:val="both"/>
        <w:rPr>
          <w:color w:val="auto"/>
          <w:sz w:val="28"/>
          <w:szCs w:val="28"/>
        </w:rPr>
      </w:pPr>
      <w:r w:rsidRPr="00F30396">
        <w:rPr>
          <w:noProof/>
          <w:color w:val="auto"/>
          <w:sz w:val="28"/>
          <w:szCs w:val="28"/>
          <w:lang w:eastAsia="uk-UA"/>
        </w:rPr>
        <w:lastRenderedPageBreak/>
        <w:drawing>
          <wp:inline distT="0" distB="0" distL="0" distR="0">
            <wp:extent cx="6046978" cy="850231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086" cy="8526371"/>
                    </a:xfrm>
                    <a:prstGeom prst="rect">
                      <a:avLst/>
                    </a:prstGeom>
                    <a:noFill/>
                    <a:ln>
                      <a:noFill/>
                    </a:ln>
                  </pic:spPr>
                </pic:pic>
              </a:graphicData>
            </a:graphic>
          </wp:inline>
        </w:drawing>
      </w:r>
    </w:p>
    <w:p w:rsidR="00EF4266" w:rsidRDefault="00EF4266" w:rsidP="00E33D51">
      <w:pPr>
        <w:pStyle w:val="Default"/>
        <w:spacing w:line="360" w:lineRule="auto"/>
        <w:ind w:firstLine="709"/>
        <w:jc w:val="both"/>
        <w:rPr>
          <w:color w:val="auto"/>
          <w:sz w:val="28"/>
          <w:szCs w:val="28"/>
        </w:rPr>
      </w:pPr>
    </w:p>
    <w:p w:rsidR="00EF4266" w:rsidRDefault="00EF4266" w:rsidP="00E33D51">
      <w:pPr>
        <w:pStyle w:val="Default"/>
        <w:spacing w:line="360" w:lineRule="auto"/>
        <w:ind w:firstLine="709"/>
        <w:jc w:val="both"/>
        <w:rPr>
          <w:color w:val="auto"/>
          <w:sz w:val="28"/>
          <w:szCs w:val="28"/>
        </w:rPr>
      </w:pPr>
    </w:p>
    <w:p w:rsidR="00EF4266" w:rsidRDefault="00EF4266" w:rsidP="00E33D51">
      <w:pPr>
        <w:pStyle w:val="Default"/>
        <w:spacing w:line="360" w:lineRule="auto"/>
        <w:ind w:firstLine="709"/>
        <w:jc w:val="both"/>
        <w:rPr>
          <w:color w:val="auto"/>
          <w:sz w:val="28"/>
          <w:szCs w:val="28"/>
        </w:rPr>
      </w:pPr>
    </w:p>
    <w:p w:rsidR="00EF4266" w:rsidRDefault="00EF4266" w:rsidP="00EF4266">
      <w:pPr>
        <w:pStyle w:val="Default"/>
        <w:spacing w:line="360" w:lineRule="auto"/>
        <w:jc w:val="both"/>
        <w:rPr>
          <w:color w:val="auto"/>
          <w:sz w:val="28"/>
          <w:szCs w:val="28"/>
        </w:rPr>
      </w:pPr>
      <w:r>
        <w:rPr>
          <w:noProof/>
          <w:lang w:eastAsia="uk-UA"/>
        </w:rPr>
        <w:lastRenderedPageBreak/>
        <w:drawing>
          <wp:inline distT="0" distB="0" distL="0" distR="0" wp14:anchorId="68C55229" wp14:editId="4CAF59B6">
            <wp:extent cx="6374933" cy="1888424"/>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1276" cy="1896227"/>
                    </a:xfrm>
                    <a:prstGeom prst="rect">
                      <a:avLst/>
                    </a:prstGeom>
                  </pic:spPr>
                </pic:pic>
              </a:graphicData>
            </a:graphic>
          </wp:inline>
        </w:drawing>
      </w:r>
    </w:p>
    <w:p w:rsidR="00EF4266" w:rsidRDefault="00EF4266" w:rsidP="00E33D51">
      <w:pPr>
        <w:pStyle w:val="Default"/>
        <w:spacing w:line="360" w:lineRule="auto"/>
        <w:ind w:firstLine="709"/>
        <w:jc w:val="both"/>
        <w:rPr>
          <w:color w:val="auto"/>
          <w:sz w:val="28"/>
          <w:szCs w:val="28"/>
        </w:rPr>
      </w:pPr>
    </w:p>
    <w:p w:rsidR="00E33D51" w:rsidRPr="00E33D51" w:rsidRDefault="00E33D51" w:rsidP="00E33D51">
      <w:pPr>
        <w:pStyle w:val="Default"/>
        <w:spacing w:line="360" w:lineRule="auto"/>
        <w:ind w:firstLine="709"/>
        <w:jc w:val="both"/>
        <w:rPr>
          <w:color w:val="auto"/>
          <w:sz w:val="28"/>
          <w:szCs w:val="28"/>
        </w:rPr>
      </w:pPr>
      <w:r w:rsidRPr="00E33D51">
        <w:rPr>
          <w:color w:val="auto"/>
          <w:sz w:val="28"/>
          <w:szCs w:val="28"/>
        </w:rPr>
        <w:t>‒ залишок коштів у централізованих страхових резервних фондах, що сплачені страховиком до централізованих страхових резервних фондів Моторного (транспортного) страхового бюро України відповідно до Закону України «Про обов’язкове страхування цивільно-правової відповідальності власників наземних транспортних засобів»  та розміщені в банках, які мають кредитний рейтинг не нижче ніж АА за національною рейтинговою шкалою, та в державні цінні папери, у тому числі державні облігації України;</w:t>
      </w:r>
    </w:p>
    <w:p w:rsidR="00E33D51" w:rsidRDefault="00E33D51" w:rsidP="00E33D51">
      <w:pPr>
        <w:pStyle w:val="Default"/>
        <w:spacing w:line="360" w:lineRule="auto"/>
        <w:ind w:firstLine="709"/>
        <w:jc w:val="both"/>
        <w:rPr>
          <w:color w:val="auto"/>
          <w:sz w:val="28"/>
          <w:szCs w:val="28"/>
        </w:rPr>
      </w:pPr>
      <w:r w:rsidRPr="00E33D51">
        <w:rPr>
          <w:color w:val="auto"/>
          <w:sz w:val="28"/>
          <w:szCs w:val="28"/>
        </w:rPr>
        <w:t xml:space="preserve">‒ права вимоги до перестраховиків-нерезидентів за укладеними договорами перестрахування ризиків з обов’язкового авіаційного страхування цивільної авіації та за договорами міжнародного обов’язкового страхування цивільно-правової відповідальності власників наземних транспортних засобів «Зелена Картка» за умови, що такі </w:t>
      </w:r>
      <w:proofErr w:type="spellStart"/>
      <w:r w:rsidRPr="00E33D51">
        <w:rPr>
          <w:color w:val="auto"/>
          <w:sz w:val="28"/>
          <w:szCs w:val="28"/>
        </w:rPr>
        <w:t>перестраховики</w:t>
      </w:r>
      <w:proofErr w:type="spellEnd"/>
      <w:r w:rsidRPr="00E33D51">
        <w:rPr>
          <w:color w:val="auto"/>
          <w:sz w:val="28"/>
          <w:szCs w:val="28"/>
        </w:rPr>
        <w:t xml:space="preserve"> не є резидентами держави, що здійснює збройну агресію проти України у значенні, наведеному в статті 1 Закону України «Про оборону України» [46], та/або дії яких створюють умови для виникнення воєнного конфлікту та застосування воєнної сили проти</w:t>
      </w:r>
      <w:r>
        <w:rPr>
          <w:color w:val="auto"/>
          <w:sz w:val="28"/>
          <w:szCs w:val="28"/>
          <w:lang w:val="ru-RU"/>
        </w:rPr>
        <w:t xml:space="preserve"> </w:t>
      </w:r>
      <w:r w:rsidRPr="00E33D51">
        <w:rPr>
          <w:color w:val="auto"/>
          <w:sz w:val="28"/>
          <w:szCs w:val="28"/>
        </w:rPr>
        <w:t>України, та рейтинг фінансової надійності (стійкості) таких перестраховиків-нерезидентів не нижчий за класифікацією таких міжнародних рейтингових агентств:</w:t>
      </w:r>
    </w:p>
    <w:p w:rsidR="009A70C4" w:rsidRDefault="009A70C4" w:rsidP="009A70C4">
      <w:pPr>
        <w:spacing w:after="0" w:line="360" w:lineRule="auto"/>
        <w:ind w:firstLine="709"/>
        <w:rPr>
          <w:rFonts w:ascii="Times New Roman" w:hAnsi="Times New Roman" w:cs="Times New Roman"/>
          <w:sz w:val="28"/>
          <w:szCs w:val="28"/>
          <w:lang w:val="uk-UA"/>
        </w:rPr>
      </w:pPr>
      <w:r w:rsidRPr="009A70C4">
        <w:rPr>
          <w:rFonts w:ascii="Times New Roman" w:hAnsi="Times New Roman" w:cs="Times New Roman"/>
          <w:sz w:val="28"/>
          <w:szCs w:val="28"/>
          <w:lang w:val="uk-UA"/>
        </w:rPr>
        <w:t xml:space="preserve">1) А – </w:t>
      </w:r>
      <w:proofErr w:type="spellStart"/>
      <w:r w:rsidRPr="009A70C4">
        <w:rPr>
          <w:rFonts w:ascii="Times New Roman" w:hAnsi="Times New Roman" w:cs="Times New Roman"/>
          <w:sz w:val="28"/>
          <w:szCs w:val="28"/>
          <w:lang w:val="uk-UA"/>
        </w:rPr>
        <w:t>A.M.Best</w:t>
      </w:r>
      <w:proofErr w:type="spellEnd"/>
      <w:r w:rsidRPr="009A70C4">
        <w:rPr>
          <w:rFonts w:ascii="Times New Roman" w:hAnsi="Times New Roman" w:cs="Times New Roman"/>
          <w:sz w:val="28"/>
          <w:szCs w:val="28"/>
          <w:lang w:val="uk-UA"/>
        </w:rPr>
        <w:t xml:space="preserve"> (США); </w:t>
      </w:r>
    </w:p>
    <w:p w:rsidR="009A70C4" w:rsidRDefault="009A70C4" w:rsidP="009A70C4">
      <w:pPr>
        <w:spacing w:after="0" w:line="360" w:lineRule="auto"/>
        <w:ind w:firstLine="709"/>
        <w:rPr>
          <w:rFonts w:ascii="Times New Roman" w:hAnsi="Times New Roman" w:cs="Times New Roman"/>
          <w:sz w:val="28"/>
          <w:szCs w:val="28"/>
          <w:lang w:val="uk-UA"/>
        </w:rPr>
      </w:pPr>
      <w:r w:rsidRPr="009A70C4">
        <w:rPr>
          <w:rFonts w:ascii="Times New Roman" w:hAnsi="Times New Roman" w:cs="Times New Roman"/>
          <w:sz w:val="28"/>
          <w:szCs w:val="28"/>
          <w:lang w:val="uk-UA"/>
        </w:rPr>
        <w:t xml:space="preserve">2) А2 – </w:t>
      </w:r>
      <w:proofErr w:type="spellStart"/>
      <w:r w:rsidRPr="009A70C4">
        <w:rPr>
          <w:rFonts w:ascii="Times New Roman" w:hAnsi="Times New Roman" w:cs="Times New Roman"/>
          <w:sz w:val="28"/>
          <w:szCs w:val="28"/>
          <w:lang w:val="uk-UA"/>
        </w:rPr>
        <w:t>Moody’s</w:t>
      </w:r>
      <w:proofErr w:type="spellEnd"/>
      <w:r w:rsidRPr="009A70C4">
        <w:rPr>
          <w:rFonts w:ascii="Times New Roman" w:hAnsi="Times New Roman" w:cs="Times New Roman"/>
          <w:sz w:val="28"/>
          <w:szCs w:val="28"/>
          <w:lang w:val="uk-UA"/>
        </w:rPr>
        <w:t xml:space="preserve"> </w:t>
      </w:r>
      <w:proofErr w:type="spellStart"/>
      <w:r w:rsidRPr="009A70C4">
        <w:rPr>
          <w:rFonts w:ascii="Times New Roman" w:hAnsi="Times New Roman" w:cs="Times New Roman"/>
          <w:sz w:val="28"/>
          <w:szCs w:val="28"/>
          <w:lang w:val="uk-UA"/>
        </w:rPr>
        <w:t>Investors</w:t>
      </w:r>
      <w:proofErr w:type="spellEnd"/>
      <w:r w:rsidRPr="009A70C4">
        <w:rPr>
          <w:rFonts w:ascii="Times New Roman" w:hAnsi="Times New Roman" w:cs="Times New Roman"/>
          <w:sz w:val="28"/>
          <w:szCs w:val="28"/>
          <w:lang w:val="uk-UA"/>
        </w:rPr>
        <w:t xml:space="preserve"> </w:t>
      </w:r>
      <w:proofErr w:type="spellStart"/>
      <w:r w:rsidRPr="009A70C4">
        <w:rPr>
          <w:rFonts w:ascii="Times New Roman" w:hAnsi="Times New Roman" w:cs="Times New Roman"/>
          <w:sz w:val="28"/>
          <w:szCs w:val="28"/>
          <w:lang w:val="uk-UA"/>
        </w:rPr>
        <w:t>Service</w:t>
      </w:r>
      <w:proofErr w:type="spellEnd"/>
      <w:r w:rsidRPr="009A70C4">
        <w:rPr>
          <w:rFonts w:ascii="Times New Roman" w:hAnsi="Times New Roman" w:cs="Times New Roman"/>
          <w:sz w:val="28"/>
          <w:szCs w:val="28"/>
          <w:lang w:val="uk-UA"/>
        </w:rPr>
        <w:t xml:space="preserve"> (США); </w:t>
      </w:r>
    </w:p>
    <w:p w:rsidR="009A70C4" w:rsidRDefault="009A70C4" w:rsidP="009A70C4">
      <w:pPr>
        <w:spacing w:after="0" w:line="360" w:lineRule="auto"/>
        <w:ind w:firstLine="709"/>
        <w:rPr>
          <w:rFonts w:ascii="Times New Roman" w:hAnsi="Times New Roman" w:cs="Times New Roman"/>
          <w:sz w:val="28"/>
          <w:szCs w:val="28"/>
          <w:lang w:val="uk-UA"/>
        </w:rPr>
      </w:pPr>
      <w:r w:rsidRPr="009A70C4">
        <w:rPr>
          <w:rFonts w:ascii="Times New Roman" w:hAnsi="Times New Roman" w:cs="Times New Roman"/>
          <w:sz w:val="28"/>
          <w:szCs w:val="28"/>
          <w:lang w:val="uk-UA"/>
        </w:rPr>
        <w:t xml:space="preserve">3) А – Standard &amp; </w:t>
      </w:r>
      <w:proofErr w:type="spellStart"/>
      <w:r w:rsidRPr="009A70C4">
        <w:rPr>
          <w:rFonts w:ascii="Times New Roman" w:hAnsi="Times New Roman" w:cs="Times New Roman"/>
          <w:sz w:val="28"/>
          <w:szCs w:val="28"/>
          <w:lang w:val="uk-UA"/>
        </w:rPr>
        <w:t>Poor’s</w:t>
      </w:r>
      <w:proofErr w:type="spellEnd"/>
      <w:r w:rsidRPr="009A70C4">
        <w:rPr>
          <w:rFonts w:ascii="Times New Roman" w:hAnsi="Times New Roman" w:cs="Times New Roman"/>
          <w:sz w:val="28"/>
          <w:szCs w:val="28"/>
          <w:lang w:val="uk-UA"/>
        </w:rPr>
        <w:t xml:space="preserve"> (США); </w:t>
      </w:r>
    </w:p>
    <w:p w:rsidR="009A70C4" w:rsidRPr="009A70C4" w:rsidRDefault="009A70C4" w:rsidP="009A70C4">
      <w:pPr>
        <w:spacing w:after="0" w:line="360" w:lineRule="auto"/>
        <w:ind w:firstLine="709"/>
        <w:rPr>
          <w:rFonts w:ascii="Times New Roman" w:hAnsi="Times New Roman" w:cs="Times New Roman"/>
          <w:sz w:val="28"/>
          <w:szCs w:val="28"/>
          <w:lang w:val="uk-UA"/>
        </w:rPr>
      </w:pPr>
      <w:r w:rsidRPr="009A70C4">
        <w:rPr>
          <w:rFonts w:ascii="Times New Roman" w:hAnsi="Times New Roman" w:cs="Times New Roman"/>
          <w:sz w:val="28"/>
          <w:szCs w:val="28"/>
          <w:lang w:val="uk-UA"/>
        </w:rPr>
        <w:t xml:space="preserve">4) А – </w:t>
      </w:r>
      <w:proofErr w:type="spellStart"/>
      <w:r w:rsidRPr="009A70C4">
        <w:rPr>
          <w:rFonts w:ascii="Times New Roman" w:hAnsi="Times New Roman" w:cs="Times New Roman"/>
          <w:sz w:val="28"/>
          <w:szCs w:val="28"/>
          <w:lang w:val="uk-UA"/>
        </w:rPr>
        <w:t>Fitch</w:t>
      </w:r>
      <w:proofErr w:type="spellEnd"/>
      <w:r w:rsidRPr="009A70C4">
        <w:rPr>
          <w:rFonts w:ascii="Times New Roman" w:hAnsi="Times New Roman" w:cs="Times New Roman"/>
          <w:sz w:val="28"/>
          <w:szCs w:val="28"/>
          <w:lang w:val="uk-UA"/>
        </w:rPr>
        <w:t xml:space="preserve"> </w:t>
      </w:r>
      <w:proofErr w:type="spellStart"/>
      <w:r w:rsidRPr="009A70C4">
        <w:rPr>
          <w:rFonts w:ascii="Times New Roman" w:hAnsi="Times New Roman" w:cs="Times New Roman"/>
          <w:sz w:val="28"/>
          <w:szCs w:val="28"/>
          <w:lang w:val="uk-UA"/>
        </w:rPr>
        <w:t>Ratings</w:t>
      </w:r>
      <w:proofErr w:type="spellEnd"/>
      <w:r w:rsidRPr="009A70C4">
        <w:rPr>
          <w:rFonts w:ascii="Times New Roman" w:hAnsi="Times New Roman" w:cs="Times New Roman"/>
          <w:sz w:val="28"/>
          <w:szCs w:val="28"/>
          <w:lang w:val="uk-UA"/>
        </w:rPr>
        <w:t xml:space="preserve"> (Великобританія);</w:t>
      </w:r>
    </w:p>
    <w:p w:rsidR="00F6652F" w:rsidRDefault="009A70C4" w:rsidP="009A70C4">
      <w:pPr>
        <w:spacing w:line="360" w:lineRule="auto"/>
        <w:ind w:firstLine="709"/>
        <w:jc w:val="both"/>
        <w:rPr>
          <w:rFonts w:ascii="Times New Roman" w:hAnsi="Times New Roman" w:cs="Times New Roman"/>
          <w:sz w:val="28"/>
          <w:szCs w:val="28"/>
          <w:lang w:val="uk-UA"/>
        </w:rPr>
      </w:pPr>
      <w:r w:rsidRPr="009A70C4">
        <w:rPr>
          <w:rFonts w:ascii="Times New Roman" w:hAnsi="Times New Roman" w:cs="Times New Roman"/>
          <w:sz w:val="28"/>
          <w:szCs w:val="28"/>
          <w:lang w:val="uk-UA"/>
        </w:rPr>
        <w:t xml:space="preserve">‒ права вимоги до </w:t>
      </w:r>
      <w:proofErr w:type="spellStart"/>
      <w:r w:rsidRPr="009A70C4">
        <w:rPr>
          <w:rFonts w:ascii="Times New Roman" w:hAnsi="Times New Roman" w:cs="Times New Roman"/>
          <w:sz w:val="28"/>
          <w:szCs w:val="28"/>
          <w:lang w:val="uk-UA"/>
        </w:rPr>
        <w:t>перестраховика</w:t>
      </w:r>
      <w:proofErr w:type="spellEnd"/>
      <w:r w:rsidRPr="009A70C4">
        <w:rPr>
          <w:rFonts w:ascii="Times New Roman" w:hAnsi="Times New Roman" w:cs="Times New Roman"/>
          <w:sz w:val="28"/>
          <w:szCs w:val="28"/>
          <w:lang w:val="uk-UA"/>
        </w:rPr>
        <w:t xml:space="preserve">-нерезидента за укладеними договорами перестрахування ризиків з обов’язкового страхування цивільної відповідальності оператора ядерної установки за ядерну шкоду, яка може бути заподіяна внаслідок </w:t>
      </w:r>
      <w:r w:rsidRPr="009A70C4">
        <w:rPr>
          <w:rFonts w:ascii="Times New Roman" w:hAnsi="Times New Roman" w:cs="Times New Roman"/>
          <w:sz w:val="28"/>
          <w:szCs w:val="28"/>
          <w:lang w:val="uk-UA"/>
        </w:rPr>
        <w:lastRenderedPageBreak/>
        <w:t xml:space="preserve">ядерного інциденту, за умови, що такий </w:t>
      </w:r>
      <w:proofErr w:type="spellStart"/>
      <w:r w:rsidRPr="009A70C4">
        <w:rPr>
          <w:rFonts w:ascii="Times New Roman" w:hAnsi="Times New Roman" w:cs="Times New Roman"/>
          <w:sz w:val="28"/>
          <w:szCs w:val="28"/>
          <w:lang w:val="uk-UA"/>
        </w:rPr>
        <w:t>перестраховик</w:t>
      </w:r>
      <w:proofErr w:type="spellEnd"/>
      <w:r w:rsidRPr="009A70C4">
        <w:rPr>
          <w:rFonts w:ascii="Times New Roman" w:hAnsi="Times New Roman" w:cs="Times New Roman"/>
          <w:sz w:val="28"/>
          <w:szCs w:val="28"/>
          <w:lang w:val="uk-UA"/>
        </w:rPr>
        <w:t xml:space="preserve"> не є резидентом держави, що здійснює збройну агресію проти України у значенні, наведеному в статті 1 Закону України «Про оборону України» [46], та/або дії якого створюють умови для виникнення воєнного конфлікту та застосування воєнної сили проти України.</w:t>
      </w:r>
    </w:p>
    <w:p w:rsidR="00F6693F" w:rsidRPr="00F6693F" w:rsidRDefault="00F6693F" w:rsidP="00F6693F">
      <w:pPr>
        <w:spacing w:line="360" w:lineRule="auto"/>
        <w:ind w:firstLine="709"/>
        <w:jc w:val="right"/>
        <w:rPr>
          <w:rFonts w:ascii="Times New Roman" w:hAnsi="Times New Roman" w:cs="Times New Roman"/>
          <w:i/>
          <w:sz w:val="28"/>
          <w:szCs w:val="28"/>
          <w:lang w:val="uk-UA"/>
        </w:rPr>
      </w:pPr>
      <w:r w:rsidRPr="00F6693F">
        <w:rPr>
          <w:rFonts w:ascii="Times New Roman" w:hAnsi="Times New Roman" w:cs="Times New Roman"/>
          <w:i/>
          <w:sz w:val="28"/>
          <w:szCs w:val="28"/>
          <w:lang w:val="uk-UA"/>
        </w:rPr>
        <w:t>Таблиця 1</w:t>
      </w:r>
    </w:p>
    <w:p w:rsidR="00F6693F" w:rsidRDefault="00F6693F" w:rsidP="00F6693F">
      <w:pPr>
        <w:spacing w:line="360" w:lineRule="auto"/>
        <w:ind w:firstLine="426"/>
        <w:jc w:val="center"/>
        <w:rPr>
          <w:rFonts w:ascii="Times New Roman" w:hAnsi="Times New Roman" w:cs="Times New Roman"/>
          <w:b/>
          <w:sz w:val="28"/>
          <w:szCs w:val="28"/>
          <w:lang w:val="uk-UA"/>
        </w:rPr>
      </w:pPr>
      <w:r w:rsidRPr="00F6693F">
        <w:rPr>
          <w:rFonts w:ascii="Times New Roman" w:hAnsi="Times New Roman" w:cs="Times New Roman"/>
          <w:b/>
          <w:sz w:val="28"/>
          <w:szCs w:val="28"/>
          <w:lang w:val="uk-UA"/>
        </w:rPr>
        <w:t>Вихідні дані для задачі</w:t>
      </w:r>
    </w:p>
    <w:p w:rsidR="00F6693F" w:rsidRPr="00F6693F" w:rsidRDefault="00F6693F" w:rsidP="00F6693F">
      <w:pPr>
        <w:ind w:firstLine="284"/>
        <w:rPr>
          <w:rFonts w:ascii="Times New Roman" w:hAnsi="Times New Roman" w:cs="Times New Roman"/>
          <w:sz w:val="28"/>
          <w:szCs w:val="28"/>
          <w:lang w:val="uk-UA"/>
        </w:rPr>
      </w:pPr>
      <w:bookmarkStart w:id="0" w:name="_GoBack"/>
      <w:r w:rsidRPr="00F6693F">
        <w:rPr>
          <w:rFonts w:ascii="Times New Roman" w:hAnsi="Times New Roman" w:cs="Times New Roman"/>
          <w:noProof/>
          <w:sz w:val="28"/>
          <w:szCs w:val="28"/>
          <w:lang w:val="uk-UA" w:eastAsia="uk-UA"/>
        </w:rPr>
        <w:drawing>
          <wp:inline distT="0" distB="0" distL="0" distR="0">
            <wp:extent cx="6303717" cy="1732548"/>
            <wp:effectExtent l="0" t="0" r="190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5663" cy="1744077"/>
                    </a:xfrm>
                    <a:prstGeom prst="rect">
                      <a:avLst/>
                    </a:prstGeom>
                    <a:noFill/>
                    <a:ln>
                      <a:noFill/>
                    </a:ln>
                  </pic:spPr>
                </pic:pic>
              </a:graphicData>
            </a:graphic>
          </wp:inline>
        </w:drawing>
      </w:r>
      <w:bookmarkEnd w:id="0"/>
    </w:p>
    <w:sectPr w:rsidR="00F6693F" w:rsidRPr="00F6693F" w:rsidSect="0008207B">
      <w:pgSz w:w="11904" w:h="17338"/>
      <w:pgMar w:top="1541" w:right="449" w:bottom="641" w:left="865"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D25" w:rsidRDefault="00800D25" w:rsidP="00EF4266">
      <w:pPr>
        <w:spacing w:after="0" w:line="240" w:lineRule="auto"/>
      </w:pPr>
      <w:r>
        <w:separator/>
      </w:r>
    </w:p>
  </w:endnote>
  <w:endnote w:type="continuationSeparator" w:id="0">
    <w:p w:rsidR="00800D25" w:rsidRDefault="00800D25" w:rsidP="00EF4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D25" w:rsidRDefault="00800D25" w:rsidP="00EF4266">
      <w:pPr>
        <w:spacing w:after="0" w:line="240" w:lineRule="auto"/>
      </w:pPr>
      <w:r>
        <w:separator/>
      </w:r>
    </w:p>
  </w:footnote>
  <w:footnote w:type="continuationSeparator" w:id="0">
    <w:p w:rsidR="00800D25" w:rsidRDefault="00800D25" w:rsidP="00EF4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008103"/>
    <w:multiLevelType w:val="hybridMultilevel"/>
    <w:tmpl w:val="0C591F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3DEE46"/>
    <w:multiLevelType w:val="hybridMultilevel"/>
    <w:tmpl w:val="79D1F4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C94020"/>
    <w:multiLevelType w:val="hybridMultilevel"/>
    <w:tmpl w:val="E44DE0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A94789"/>
    <w:multiLevelType w:val="hybridMultilevel"/>
    <w:tmpl w:val="C48830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540BEC"/>
    <w:multiLevelType w:val="hybridMultilevel"/>
    <w:tmpl w:val="BEC88B4E"/>
    <w:lvl w:ilvl="0" w:tplc="DFCC5426">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3915171D"/>
    <w:multiLevelType w:val="hybridMultilevel"/>
    <w:tmpl w:val="746254D6"/>
    <w:lvl w:ilvl="0" w:tplc="BAF4ABE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120BF01"/>
    <w:multiLevelType w:val="hybridMultilevel"/>
    <w:tmpl w:val="C9A07F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3EE67B6"/>
    <w:multiLevelType w:val="hybridMultilevel"/>
    <w:tmpl w:val="075F5C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C09C542"/>
    <w:multiLevelType w:val="hybridMultilevel"/>
    <w:tmpl w:val="1F265A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3"/>
  </w:num>
  <w:num w:numId="3">
    <w:abstractNumId w:val="2"/>
  </w:num>
  <w:num w:numId="4">
    <w:abstractNumId w:val="6"/>
  </w:num>
  <w:num w:numId="5">
    <w:abstractNumId w:val="0"/>
  </w:num>
  <w:num w:numId="6">
    <w:abstractNumId w:val="1"/>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8B"/>
    <w:rsid w:val="000A75C3"/>
    <w:rsid w:val="001A7894"/>
    <w:rsid w:val="001E7C2A"/>
    <w:rsid w:val="00205FE6"/>
    <w:rsid w:val="00470D40"/>
    <w:rsid w:val="00513878"/>
    <w:rsid w:val="006412F3"/>
    <w:rsid w:val="006E493E"/>
    <w:rsid w:val="00751B33"/>
    <w:rsid w:val="00800D25"/>
    <w:rsid w:val="008020DD"/>
    <w:rsid w:val="009A70C4"/>
    <w:rsid w:val="009C6850"/>
    <w:rsid w:val="00A1258B"/>
    <w:rsid w:val="00AD671E"/>
    <w:rsid w:val="00C10C53"/>
    <w:rsid w:val="00C3327D"/>
    <w:rsid w:val="00C660F5"/>
    <w:rsid w:val="00C92884"/>
    <w:rsid w:val="00D00077"/>
    <w:rsid w:val="00DC6645"/>
    <w:rsid w:val="00E33D51"/>
    <w:rsid w:val="00EF4266"/>
    <w:rsid w:val="00F30396"/>
    <w:rsid w:val="00F6652F"/>
    <w:rsid w:val="00F6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1E76"/>
  <w15:chartTrackingRefBased/>
  <w15:docId w15:val="{EE09777C-544D-4106-A351-6D0D757D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8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6850"/>
    <w:pPr>
      <w:autoSpaceDE w:val="0"/>
      <w:autoSpaceDN w:val="0"/>
      <w:adjustRightInd w:val="0"/>
      <w:spacing w:after="0" w:line="240" w:lineRule="auto"/>
    </w:pPr>
    <w:rPr>
      <w:rFonts w:ascii="Times New Roman" w:hAnsi="Times New Roman" w:cs="Times New Roman"/>
      <w:color w:val="000000"/>
      <w:sz w:val="24"/>
      <w:szCs w:val="24"/>
      <w:lang w:val="uk-UA"/>
    </w:rPr>
  </w:style>
  <w:style w:type="table" w:styleId="a3">
    <w:name w:val="Table Grid"/>
    <w:basedOn w:val="a1"/>
    <w:uiPriority w:val="39"/>
    <w:rsid w:val="00751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42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4266"/>
  </w:style>
  <w:style w:type="paragraph" w:styleId="a6">
    <w:name w:val="footer"/>
    <w:basedOn w:val="a"/>
    <w:link w:val="a7"/>
    <w:uiPriority w:val="99"/>
    <w:unhideWhenUsed/>
    <w:rsid w:val="00EF42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4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11</Pages>
  <Words>10270</Words>
  <Characters>5854</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2023-10-22T19:14:00Z</dcterms:created>
  <dcterms:modified xsi:type="dcterms:W3CDTF">2023-10-22T22:09:00Z</dcterms:modified>
</cp:coreProperties>
</file>