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09" w:rsidRDefault="00E4043B">
      <w:pPr>
        <w:spacing w:after="189" w:line="259" w:lineRule="auto"/>
        <w:ind w:left="45" w:right="105" w:hanging="10"/>
        <w:jc w:val="center"/>
      </w:pPr>
      <w:r>
        <w:t>ТЕМА 7</w:t>
      </w:r>
      <w:bookmarkStart w:id="0" w:name="_GoBack"/>
      <w:bookmarkEnd w:id="0"/>
      <w:r w:rsidR="00414BC1">
        <w:t xml:space="preserve"> </w:t>
      </w:r>
    </w:p>
    <w:p w:rsidR="00DF7409" w:rsidRDefault="00414BC1">
      <w:pPr>
        <w:spacing w:after="132" w:line="259" w:lineRule="auto"/>
        <w:ind w:left="45" w:right="115" w:hanging="10"/>
        <w:jc w:val="center"/>
      </w:pPr>
      <w:r>
        <w:t xml:space="preserve">ОЦІНКА ФІНАНСОВОГО СТАНУ СТРАХОВОЇ ОРГАНІЗАЦІЇ </w:t>
      </w:r>
    </w:p>
    <w:p w:rsidR="00DF7409" w:rsidRDefault="00414BC1">
      <w:pPr>
        <w:spacing w:after="186" w:line="259" w:lineRule="auto"/>
        <w:ind w:left="710" w:right="0" w:firstLine="0"/>
        <w:jc w:val="left"/>
      </w:pPr>
      <w:r>
        <w:t xml:space="preserve"> </w:t>
      </w:r>
    </w:p>
    <w:p w:rsidR="00DF7409" w:rsidRDefault="00414BC1">
      <w:pPr>
        <w:ind w:left="14" w:right="65"/>
      </w:pPr>
      <w:r>
        <w:t xml:space="preserve">6.1 Сутність фінансового стану страхової організації та напрями його оцінки </w:t>
      </w:r>
    </w:p>
    <w:p w:rsidR="00DF7409" w:rsidRDefault="00414BC1">
      <w:pPr>
        <w:spacing w:after="188" w:line="259" w:lineRule="auto"/>
        <w:ind w:left="710" w:right="0" w:firstLine="0"/>
        <w:jc w:val="left"/>
      </w:pPr>
      <w:r>
        <w:t xml:space="preserve"> </w:t>
      </w:r>
    </w:p>
    <w:p w:rsidR="00DF7409" w:rsidRDefault="00414BC1">
      <w:pPr>
        <w:ind w:left="14" w:right="65"/>
      </w:pPr>
      <w:r>
        <w:t xml:space="preserve">У сучасних умовах розвитку ринку фінансових послуг страхова діяльність перебуває в стадії жорсткої конкурентної </w:t>
      </w:r>
      <w:r>
        <w:t xml:space="preserve">боротьби, а індикатором конкурентоспроможності виступають результати її діяльності. Тому стійкий фінансовий стан страховика є запорукою його розвитку в умовах ринкової економіки [77, с. 45]. </w:t>
      </w:r>
    </w:p>
    <w:p w:rsidR="00DF7409" w:rsidRDefault="00414BC1">
      <w:pPr>
        <w:ind w:left="14" w:right="65"/>
      </w:pPr>
      <w:r>
        <w:t>Страхові компанії є специфічними суб’єктами, які концентрують на</w:t>
      </w:r>
      <w:r>
        <w:t xml:space="preserve"> собі майнові інтереси страхувальників (фізичних і юридичних осіб). У зв’язку з цим найважливішою метою діяльності страхової компанії є досягнення та підтримка її стійкого фінансового стану, який характеризується системою показників, що відображають наявні</w:t>
      </w:r>
      <w:r>
        <w:t xml:space="preserve">сть, розміщення і використання капіталу страховика [78, с. 85]. </w:t>
      </w:r>
    </w:p>
    <w:p w:rsidR="00DF7409" w:rsidRDefault="00414BC1">
      <w:pPr>
        <w:ind w:left="14" w:right="65"/>
      </w:pPr>
      <w:r>
        <w:t>Із розвитком страхового ринку в Україні дедалі більшу увагу вітчизняні теоретики і практики приділяють дослідженню умов забезпечення надійного фінансового стану, підтримання фінансової стійко</w:t>
      </w:r>
      <w:r>
        <w:t xml:space="preserve">сті та платоспроможності, дотримання вимог щодо достатності капіталу [112, с. 227].  </w:t>
      </w:r>
    </w:p>
    <w:p w:rsidR="00DF7409" w:rsidRDefault="00414BC1">
      <w:pPr>
        <w:ind w:left="14" w:right="65"/>
      </w:pPr>
      <w:r>
        <w:t xml:space="preserve">Систематичний моніторинг фінансового стану страхових компаній, розгорнуте висвітлення у </w:t>
      </w:r>
      <w:proofErr w:type="spellStart"/>
      <w:r>
        <w:t>медіаджерелах</w:t>
      </w:r>
      <w:proofErr w:type="spellEnd"/>
      <w:r>
        <w:t>, професійний підхід до побудови системи оцінювання та діагностики кл</w:t>
      </w:r>
      <w:r>
        <w:t xml:space="preserve">ючових фінансових показників дали би змогу застерегти клієнтів страхового ринку від проблемних фінансово нестійких компаній, перевірити рівень їх фінансової стійкості та оцінити стан фінансової безпеки.  </w:t>
      </w:r>
    </w:p>
    <w:p w:rsidR="00DF7409" w:rsidRDefault="00414BC1">
      <w:pPr>
        <w:ind w:left="14" w:right="65"/>
      </w:pPr>
      <w:r>
        <w:lastRenderedPageBreak/>
        <w:t xml:space="preserve">У науковій літературі погляди дослідників стосовно </w:t>
      </w:r>
      <w:r>
        <w:t xml:space="preserve">тлумачення сутності та параметрів, за допомогою яких можна визначити й оцінити фінансовий стан суб’єкта господарювання і страхової компанії зокрема, істотно різняться. </w:t>
      </w:r>
    </w:p>
    <w:p w:rsidR="00DF7409" w:rsidRDefault="00414BC1">
      <w:pPr>
        <w:ind w:left="14" w:right="65"/>
      </w:pPr>
      <w:r>
        <w:t>Найбільш вживаним у навчальній та науковій літературі є наступне визначення фінансового</w:t>
      </w:r>
      <w:r>
        <w:t xml:space="preserve"> стану страхової компанії: фінансовий стан страхової компанії як комплексне поняття, що є наслідком взаємодії усіх елементів системи фінансових відносин компанії, визначається сукупністю господарських факторів і характеризується системою показників, які ві</w:t>
      </w:r>
      <w:r>
        <w:t xml:space="preserve">дображають наявність, розміщення і використання фінансових ресурсів. Тому під фінансовим станом компанії розуміють її спроможність фінансувати свою діяльність [8, с. 190; 79, с. 55; 81, с. 226].  </w:t>
      </w:r>
    </w:p>
    <w:p w:rsidR="00DF7409" w:rsidRDefault="00414BC1">
      <w:pPr>
        <w:ind w:left="14" w:right="65"/>
      </w:pPr>
      <w:r>
        <w:t>Оптимізація фінансового стану є однією з умов успішного роз</w:t>
      </w:r>
      <w:r>
        <w:t xml:space="preserve">витку компанії у майбутньому, а погіршення фінансового стану свідчить про загрозу її можливого банкрутства [80, с. 113]. </w:t>
      </w:r>
    </w:p>
    <w:p w:rsidR="00DF7409" w:rsidRDefault="00414BC1">
      <w:pPr>
        <w:ind w:left="14" w:right="65"/>
      </w:pPr>
      <w:r>
        <w:t>Фінансовий стан страхової компанії характеризується показниками, які описують її здатність до розвитку і успішної роботи в конкурентно</w:t>
      </w:r>
      <w:r>
        <w:t xml:space="preserve">му ринковому середовищі, а саме в оперативних і стратегічних аспектах [81, с. 225]. </w:t>
      </w:r>
    </w:p>
    <w:p w:rsidR="00DF7409" w:rsidRDefault="00414BC1">
      <w:pPr>
        <w:ind w:left="14" w:right="65"/>
      </w:pPr>
      <w:r>
        <w:t xml:space="preserve">Система неперервного спостереження фінансового стану страхової компанії має відповідати таким загальним принципам функціонування (табл. </w:t>
      </w:r>
    </w:p>
    <w:p w:rsidR="00DF7409" w:rsidRDefault="00414BC1">
      <w:pPr>
        <w:spacing w:after="183" w:line="259" w:lineRule="auto"/>
        <w:ind w:left="14" w:right="65" w:firstLine="0"/>
      </w:pPr>
      <w:r>
        <w:t xml:space="preserve">6.1). </w:t>
      </w:r>
    </w:p>
    <w:p w:rsidR="00DF7409" w:rsidRDefault="00414BC1">
      <w:pPr>
        <w:ind w:left="14" w:right="65"/>
      </w:pPr>
      <w:r>
        <w:t>Оцінка фінансового стану ст</w:t>
      </w:r>
      <w:r>
        <w:t xml:space="preserve">раховика пов’язана з необхідністю визначення доцільності його діяльності на страховому ринку, можливості виконувати свої зобов’язання, та задовольняти потреби своїх клієнтів [79, с. 66]. </w:t>
      </w:r>
    </w:p>
    <w:p w:rsidR="00DF7409" w:rsidRDefault="00414BC1">
      <w:pPr>
        <w:ind w:left="14" w:right="65"/>
      </w:pPr>
      <w:r>
        <w:t xml:space="preserve">Тому, основними завданнями оцінки фінансового стану страхової </w:t>
      </w:r>
      <w:r>
        <w:t xml:space="preserve">компанії є: </w:t>
      </w:r>
    </w:p>
    <w:p w:rsidR="00DF7409" w:rsidRDefault="00414BC1">
      <w:pPr>
        <w:spacing w:after="192" w:line="259" w:lineRule="auto"/>
        <w:ind w:left="710" w:right="65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дослідження фінансової стійкості; </w:t>
      </w:r>
    </w:p>
    <w:p w:rsidR="00DF7409" w:rsidRDefault="00414BC1">
      <w:pPr>
        <w:spacing w:after="187" w:line="259" w:lineRule="auto"/>
        <w:ind w:left="710" w:right="65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оцінювання рівня фінансової надійності; </w:t>
      </w:r>
    </w:p>
    <w:p w:rsidR="00DF7409" w:rsidRDefault="00414BC1">
      <w:pPr>
        <w:ind w:left="14" w:right="65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 xml:space="preserve">визначення динаміки показників ліквідності, платоспроможності та рентабельності; </w:t>
      </w:r>
    </w:p>
    <w:p w:rsidR="00DF7409" w:rsidRDefault="00414BC1">
      <w:pPr>
        <w:spacing w:after="132" w:line="259" w:lineRule="auto"/>
        <w:ind w:left="710" w:right="65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оцінка ефективності використання фінансових ресурсів.  </w:t>
      </w:r>
    </w:p>
    <w:p w:rsidR="00DF7409" w:rsidRDefault="00414BC1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DF7409" w:rsidRDefault="00414BC1">
      <w:pPr>
        <w:spacing w:after="185" w:line="259" w:lineRule="auto"/>
        <w:ind w:left="10" w:right="73" w:hanging="10"/>
        <w:jc w:val="right"/>
      </w:pPr>
      <w:r>
        <w:t>Таблиця 6.1</w:t>
      </w:r>
    </w:p>
    <w:p w:rsidR="00DF7409" w:rsidRDefault="00414BC1">
      <w:pPr>
        <w:spacing w:after="0" w:line="259" w:lineRule="auto"/>
        <w:ind w:left="45" w:right="35" w:hanging="10"/>
        <w:jc w:val="center"/>
      </w:pPr>
      <w:r>
        <w:t>Принцип</w:t>
      </w:r>
      <w:r>
        <w:t xml:space="preserve">и функціонування системи неперервного спостереження за фінансовим станом страхової компанії  </w:t>
      </w:r>
    </w:p>
    <w:tbl>
      <w:tblPr>
        <w:tblStyle w:val="TableGrid"/>
        <w:tblW w:w="9858" w:type="dxa"/>
        <w:tblInd w:w="-110" w:type="dxa"/>
        <w:tblCellMar>
          <w:top w:w="51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371"/>
        <w:gridCol w:w="6487"/>
      </w:tblGrid>
      <w:tr w:rsidR="00DF7409">
        <w:trPr>
          <w:trHeight w:val="28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Принцип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71" w:firstLine="0"/>
              <w:jc w:val="center"/>
            </w:pPr>
            <w:r>
              <w:rPr>
                <w:sz w:val="24"/>
              </w:rPr>
              <w:t xml:space="preserve">Характеристика </w:t>
            </w:r>
          </w:p>
        </w:tc>
      </w:tr>
      <w:tr w:rsidR="00DF7409">
        <w:trPr>
          <w:trHeight w:val="1114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достатності інформації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56" w:firstLine="0"/>
            </w:pPr>
            <w:r>
              <w:rPr>
                <w:sz w:val="24"/>
              </w:rPr>
              <w:t>в кожній окремій системі повинна використовуватися тільки відома інформація (нормативна, довідкова, прогнозна) з</w:t>
            </w:r>
            <w:r>
              <w:rPr>
                <w:sz w:val="24"/>
              </w:rPr>
              <w:t xml:space="preserve"> необхідною точністю для моделювання результатів діяльності підприємства </w:t>
            </w:r>
          </w:p>
        </w:tc>
      </w:tr>
      <w:tr w:rsidR="00DF7409">
        <w:trPr>
          <w:trHeight w:val="83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 xml:space="preserve">наступності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 xml:space="preserve">кожна наступна підсистема не повинна порушувати властивостей об’єкта і критеріїв, установлених системі вищого рівня </w:t>
            </w:r>
          </w:p>
        </w:tc>
      </w:tr>
      <w:tr w:rsidR="00DF7409">
        <w:trPr>
          <w:trHeight w:val="562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вірогідності й порівнянності інформації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дає змогу</w:t>
            </w:r>
            <w:r>
              <w:rPr>
                <w:sz w:val="24"/>
              </w:rPr>
              <w:t xml:space="preserve"> забезпечити результати, наближені до реальних </w:t>
            </w:r>
          </w:p>
        </w:tc>
      </w:tr>
      <w:tr w:rsidR="00DF7409">
        <w:trPr>
          <w:trHeight w:val="1114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імовірності помилок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>дозволяє відслідковувати помилки, що виникають у процесі оцінки або моделювання, а також у межах розробленої моделі оцінювати ризик можливої помилки та її наслідки, виробляти основні мет</w:t>
            </w:r>
            <w:r>
              <w:rPr>
                <w:sz w:val="24"/>
              </w:rPr>
              <w:t xml:space="preserve">оди реагування на помилку </w:t>
            </w:r>
          </w:p>
        </w:tc>
      </w:tr>
      <w:tr w:rsidR="00DF7409">
        <w:trPr>
          <w:trHeight w:val="8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комплексності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55" w:firstLine="0"/>
            </w:pPr>
            <w:r>
              <w:rPr>
                <w:sz w:val="24"/>
              </w:rPr>
              <w:t xml:space="preserve">взаємозумовленості і пропорційної </w:t>
            </w:r>
            <w:proofErr w:type="spellStart"/>
            <w:r>
              <w:rPr>
                <w:sz w:val="24"/>
              </w:rPr>
              <w:t>взаємоузгодженості</w:t>
            </w:r>
            <w:proofErr w:type="spellEnd"/>
            <w:r>
              <w:rPr>
                <w:sz w:val="24"/>
              </w:rPr>
              <w:t xml:space="preserve"> розвитку системи як єдиного цілого, що забезпечує зв’язок усіх підсистем і елементів </w:t>
            </w:r>
          </w:p>
        </w:tc>
      </w:tr>
      <w:tr w:rsidR="00DF7409">
        <w:trPr>
          <w:trHeight w:val="562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оперативності й гнучкості реагування на зміни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можливість швидкого </w:t>
            </w:r>
            <w:r>
              <w:rPr>
                <w:sz w:val="24"/>
              </w:rPr>
              <w:t xml:space="preserve">реагування на небезпеку, що виникає </w:t>
            </w:r>
          </w:p>
        </w:tc>
      </w:tr>
    </w:tbl>
    <w:p w:rsidR="00DF7409" w:rsidRDefault="00414BC1">
      <w:pPr>
        <w:spacing w:after="136" w:line="259" w:lineRule="auto"/>
        <w:ind w:left="144" w:right="65" w:firstLine="0"/>
      </w:pPr>
      <w:r>
        <w:t xml:space="preserve">Складено авторами на основі [81, 82]. </w:t>
      </w:r>
    </w:p>
    <w:p w:rsidR="00DF7409" w:rsidRDefault="00414BC1">
      <w:pPr>
        <w:spacing w:after="183" w:line="259" w:lineRule="auto"/>
        <w:ind w:left="710" w:right="0" w:firstLine="0"/>
        <w:jc w:val="left"/>
      </w:pPr>
      <w:r>
        <w:t xml:space="preserve"> </w:t>
      </w:r>
    </w:p>
    <w:p w:rsidR="00DF7409" w:rsidRDefault="00414BC1">
      <w:pPr>
        <w:ind w:left="14" w:right="65"/>
      </w:pPr>
      <w:r>
        <w:t>Обґрунтована оцінка фінансового стану страхової компанії може бути основою для аналізу поточного рівня розвитку бізнесу з перспективою на майбутнє. Для керівників і власників ко</w:t>
      </w:r>
      <w:r>
        <w:t>мпанії це є засобом отримання достовірної інформації про її реальні можливості. Особливо це важливо для розробки стратегії розвитку в динамічному ризиковому середовищі існування. Результати діагностичних досліджень фінансового стану страховика є основним і</w:t>
      </w:r>
      <w:r>
        <w:t xml:space="preserve">ндикатором при ухваленні рішень та антикризовому управлінні. Своєчасне виявлення ознак неплатоспроможності дозволяє керівництву компанії вживати </w:t>
      </w:r>
      <w:r>
        <w:lastRenderedPageBreak/>
        <w:t xml:space="preserve">термінові заходи з виправлення фінансового стану і зниження ризику банкрутства [83, с. 198]. </w:t>
      </w:r>
    </w:p>
    <w:p w:rsidR="00DF7409" w:rsidRDefault="00414BC1">
      <w:pPr>
        <w:ind w:left="14" w:right="65"/>
      </w:pPr>
      <w:r>
        <w:t>Оцінка фінансовог</w:t>
      </w:r>
      <w:r>
        <w:t xml:space="preserve">о стану страхової організації здійснюється з використанням декількох груп показників, що включають як загальні показники оцінки фінансового стану підприємств, так і специфічні, які характеризують окремі сторони діяльності страхових організацій. Звісно, не </w:t>
      </w:r>
      <w:r>
        <w:t xml:space="preserve">всі показники служать безпосередньо цілями оцінки, у зв’язку з чим у багатьох випадках необхідні їх відбір і систематизація [79, с. 55].  </w:t>
      </w:r>
    </w:p>
    <w:p w:rsidR="00DF7409" w:rsidRDefault="00414BC1">
      <w:pPr>
        <w:ind w:left="14" w:right="65"/>
      </w:pPr>
      <w:r>
        <w:t>Авторами посібника пропонується здійснювати оцінку фінансового стану страхової організації за: групами показників, що</w:t>
      </w:r>
      <w:r>
        <w:t xml:space="preserve"> характеризують фінансову стійкість страхової організації; групами показників, що характеризують фінансову надійність страхової організації; групами показників оцінки платоспроможності та ліквідності (які є складовими оцінки фінансової стійкості страхової </w:t>
      </w:r>
      <w:r>
        <w:t xml:space="preserve">організації); групами показників рентабельності.  </w:t>
      </w:r>
    </w:p>
    <w:p w:rsidR="00DF7409" w:rsidRDefault="00414BC1">
      <w:pPr>
        <w:ind w:left="14" w:right="65"/>
      </w:pPr>
      <w:r>
        <w:t>В наступних підрозділах запропоновані розроблені авторами навчального посібника методичні підходи та системи показників оцінки основних складових фінансового стану страхової організації – фінансової стійко</w:t>
      </w:r>
      <w:r>
        <w:t xml:space="preserve">сті та фінансової надійності. </w:t>
      </w:r>
    </w:p>
    <w:p w:rsidR="00DF7409" w:rsidRDefault="00414BC1">
      <w:pPr>
        <w:spacing w:after="181" w:line="259" w:lineRule="auto"/>
        <w:ind w:left="710" w:right="0" w:firstLine="0"/>
        <w:jc w:val="left"/>
      </w:pPr>
      <w:r>
        <w:t xml:space="preserve"> </w:t>
      </w:r>
    </w:p>
    <w:p w:rsidR="00DF7409" w:rsidRDefault="00414BC1">
      <w:pPr>
        <w:ind w:left="14" w:right="65"/>
      </w:pPr>
      <w:r>
        <w:t xml:space="preserve">6.2 Показники фінансової надійності страховика як складової оцінки його фінансового стану </w:t>
      </w:r>
    </w:p>
    <w:p w:rsidR="00DF7409" w:rsidRDefault="00414BC1">
      <w:pPr>
        <w:spacing w:after="188" w:line="259" w:lineRule="auto"/>
        <w:ind w:left="710" w:right="0" w:firstLine="0"/>
        <w:jc w:val="left"/>
      </w:pPr>
      <w:r>
        <w:t xml:space="preserve"> </w:t>
      </w:r>
    </w:p>
    <w:p w:rsidR="00DF7409" w:rsidRDefault="00414BC1">
      <w:pPr>
        <w:ind w:left="14" w:right="65"/>
      </w:pPr>
      <w:r>
        <w:t xml:space="preserve">Погіршення фінансово-економічної, політичної ситуації в країні, негативні процеси в банківській сфері, падіння купівельної </w:t>
      </w:r>
      <w:r>
        <w:t>спроможності потенційних споживачів страхових послуг призводить до скорочення обсягів страхування, падіння рівня їх дохідності і, відповідно, зниження рівня фінансової надійності і стійкості страховиків. Страховики вступають у фінансові відносини з фізични</w:t>
      </w:r>
      <w:r>
        <w:t xml:space="preserve">ми </w:t>
      </w:r>
      <w:r>
        <w:lastRenderedPageBreak/>
        <w:t xml:space="preserve">і юридичними особами, для яких практичний інтерес представляє перш за все їх фінансова надійність та стійкість. </w:t>
      </w:r>
    </w:p>
    <w:p w:rsidR="00DF7409" w:rsidRDefault="00414BC1">
      <w:pPr>
        <w:ind w:left="14" w:right="65"/>
      </w:pPr>
      <w:r>
        <w:t>Питання оцінки фінансової надійності страховиків залишається не розв’язаним в повній мірі і потребує деталізації і конкретизації показників,</w:t>
      </w:r>
      <w:r>
        <w:t xml:space="preserve"> за якими її можна здійснити. </w:t>
      </w:r>
    </w:p>
    <w:p w:rsidR="00DF7409" w:rsidRDefault="00414BC1">
      <w:pPr>
        <w:ind w:left="14" w:right="65"/>
      </w:pPr>
      <w:r>
        <w:t>Окремі аспекти розробки та удосконалення теоретичних, методичних підходів щодо розмежування категорій «фінансова надійність страховика» та «фінансова стійкість страховика», формування та узагальнення показників оцінки фінансо</w:t>
      </w:r>
      <w:r>
        <w:t xml:space="preserve">вої надійності досліджувались в наукових публікаціях таких вчених як В.П. </w:t>
      </w:r>
      <w:proofErr w:type="spellStart"/>
      <w:r>
        <w:t>Братюк</w:t>
      </w:r>
      <w:proofErr w:type="spellEnd"/>
      <w:r>
        <w:t xml:space="preserve">, Я.Ю. </w:t>
      </w:r>
      <w:proofErr w:type="spellStart"/>
      <w:r>
        <w:t>Гудачок</w:t>
      </w:r>
      <w:proofErr w:type="spellEnd"/>
      <w:r>
        <w:t xml:space="preserve">, І.Ю. </w:t>
      </w:r>
      <w:proofErr w:type="spellStart"/>
      <w:r>
        <w:t>Кисільова</w:t>
      </w:r>
      <w:proofErr w:type="spellEnd"/>
      <w:r>
        <w:t xml:space="preserve">, В.О. Кравченко, Г.М. </w:t>
      </w:r>
      <w:proofErr w:type="spellStart"/>
      <w:r>
        <w:t>Малинич</w:t>
      </w:r>
      <w:proofErr w:type="spellEnd"/>
      <w:r>
        <w:t xml:space="preserve">, В.М. Олійник, Н. В. Ткаченко, О. О. </w:t>
      </w:r>
      <w:proofErr w:type="spellStart"/>
      <w:r>
        <w:t>Шакура</w:t>
      </w:r>
      <w:proofErr w:type="spellEnd"/>
      <w:r>
        <w:t xml:space="preserve">, Л. В. </w:t>
      </w:r>
      <w:proofErr w:type="spellStart"/>
      <w:r>
        <w:t>Ширінян</w:t>
      </w:r>
      <w:proofErr w:type="spellEnd"/>
      <w:r>
        <w:t xml:space="preserve"> та інші. </w:t>
      </w:r>
    </w:p>
    <w:p w:rsidR="00DF7409" w:rsidRDefault="00414BC1">
      <w:pPr>
        <w:ind w:left="14" w:right="65"/>
      </w:pPr>
      <w:r>
        <w:t>В науковій літературі на сьогоднішній день від</w:t>
      </w:r>
      <w:r>
        <w:t>сутнє узагальнення показників щодо оцінки фінансової надійності страховиків, оскільки серед науковців не існує погодженості стосовно необхідності розмежування категорій «фінансова надійність страховика» та «фінансова стійкість страховика», а відповідно й п</w:t>
      </w:r>
      <w:r>
        <w:t xml:space="preserve">оказників, за якими вони оцінюються. </w:t>
      </w:r>
    </w:p>
    <w:p w:rsidR="00DF7409" w:rsidRDefault="00414BC1">
      <w:pPr>
        <w:ind w:left="14" w:right="65"/>
      </w:pPr>
      <w:r>
        <w:t>В наукових публікаціях останніх років простежується активна дискусія щодо розмежування чи ототожнення категорій «фінансова стійкість страховика» та «фінансова надійність страховика». Окрім того, серед науковців не існу</w:t>
      </w:r>
      <w:r>
        <w:t xml:space="preserve">є єдиної думки стосовно сутності та специфіки кожної із зазначених категорій.  </w:t>
      </w:r>
    </w:p>
    <w:p w:rsidR="00DF7409" w:rsidRDefault="00414BC1">
      <w:pPr>
        <w:spacing w:after="185" w:line="259" w:lineRule="auto"/>
        <w:ind w:left="10" w:right="73" w:hanging="10"/>
        <w:jc w:val="right"/>
      </w:pPr>
      <w:r>
        <w:t xml:space="preserve">Авторами посібника проведено власний аналіз визначень категорії </w:t>
      </w:r>
    </w:p>
    <w:p w:rsidR="00DF7409" w:rsidRDefault="00414BC1">
      <w:pPr>
        <w:spacing w:after="132" w:line="259" w:lineRule="auto"/>
        <w:ind w:left="14" w:right="65" w:firstLine="0"/>
      </w:pPr>
      <w:r>
        <w:t xml:space="preserve">«фінансова надійність страховика» (табл. 6.2). </w:t>
      </w:r>
    </w:p>
    <w:p w:rsidR="00DF7409" w:rsidRDefault="00414BC1">
      <w:pPr>
        <w:spacing w:after="172" w:line="259" w:lineRule="auto"/>
        <w:ind w:left="710" w:right="0" w:firstLine="0"/>
        <w:jc w:val="left"/>
      </w:pPr>
      <w:r>
        <w:t xml:space="preserve"> </w:t>
      </w:r>
    </w:p>
    <w:p w:rsidR="00DF7409" w:rsidRDefault="00414BC1">
      <w:pPr>
        <w:spacing w:line="259" w:lineRule="auto"/>
        <w:ind w:left="312" w:right="65" w:firstLine="7904"/>
      </w:pPr>
      <w:r>
        <w:t>Таблиця 6.2  Аналіз визначення категорії «фінансова надійніст</w:t>
      </w:r>
      <w:r>
        <w:t xml:space="preserve">ь страховика» в наукових публікаціях </w:t>
      </w:r>
    </w:p>
    <w:tbl>
      <w:tblPr>
        <w:tblStyle w:val="TableGrid"/>
        <w:tblW w:w="9858" w:type="dxa"/>
        <w:tblInd w:w="-110" w:type="dxa"/>
        <w:tblCellMar>
          <w:top w:w="7" w:type="dxa"/>
          <w:left w:w="11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671"/>
        <w:gridCol w:w="8187"/>
      </w:tblGrid>
      <w:tr w:rsidR="00DF7409">
        <w:trPr>
          <w:trHeight w:val="28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Автор/рік 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Визначення сутності «фінансова надійність страховика» </w:t>
            </w:r>
          </w:p>
        </w:tc>
      </w:tr>
      <w:tr w:rsidR="00DF7409">
        <w:trPr>
          <w:trHeight w:val="28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7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F7409">
        <w:trPr>
          <w:trHeight w:val="221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72" w:firstLine="0"/>
              <w:jc w:val="center"/>
            </w:pPr>
            <w:proofErr w:type="spellStart"/>
            <w:r>
              <w:rPr>
                <w:sz w:val="24"/>
              </w:rPr>
              <w:lastRenderedPageBreak/>
              <w:t>Ширінян</w:t>
            </w:r>
            <w:proofErr w:type="spellEnd"/>
            <w:r>
              <w:rPr>
                <w:sz w:val="24"/>
              </w:rPr>
              <w:t xml:space="preserve"> Л. </w:t>
            </w:r>
          </w:p>
          <w:p w:rsidR="00DF7409" w:rsidRDefault="00414BC1">
            <w:pPr>
              <w:spacing w:after="0" w:line="259" w:lineRule="auto"/>
              <w:ind w:right="72" w:firstLine="0"/>
              <w:jc w:val="center"/>
            </w:pPr>
            <w:r>
              <w:rPr>
                <w:sz w:val="24"/>
              </w:rPr>
              <w:t xml:space="preserve">[103],  </w:t>
            </w:r>
          </w:p>
          <w:p w:rsidR="00DF7409" w:rsidRDefault="00414BC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2007 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56" w:firstLine="0"/>
            </w:pPr>
            <w:r>
              <w:rPr>
                <w:sz w:val="24"/>
              </w:rPr>
              <w:t>фінансову надійність страхової компанії необхідно трактувати як стан фінансових ресурсів, за якого страховик: по-</w:t>
            </w:r>
            <w:r>
              <w:rPr>
                <w:sz w:val="24"/>
              </w:rPr>
              <w:t>перше, здатний своєчасно виконувати всі взяті зобов'язання протягом всього терміну дії укладених договорів (тобто бути платоспроможним), по-друге, мати задовільні показники діяльності (К &gt; нормативного значення), по-третє, сприятливо реагувати на зміну зов</w:t>
            </w:r>
            <w:r>
              <w:rPr>
                <w:sz w:val="24"/>
              </w:rPr>
              <w:t xml:space="preserve">нішніх і внутрішніх чинників фінансового стану (тобто бути фінансово стійким);…фінансова стійкість є необхідною умовою фінансової надійності страхової компанії </w:t>
            </w:r>
          </w:p>
        </w:tc>
      </w:tr>
      <w:tr w:rsidR="00DF7409">
        <w:trPr>
          <w:trHeight w:val="8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72" w:firstLine="0"/>
              <w:jc w:val="center"/>
            </w:pPr>
            <w:proofErr w:type="spellStart"/>
            <w:r>
              <w:rPr>
                <w:sz w:val="24"/>
              </w:rPr>
              <w:t>Малинич</w:t>
            </w:r>
            <w:proofErr w:type="spellEnd"/>
            <w:r>
              <w:rPr>
                <w:sz w:val="24"/>
              </w:rPr>
              <w:t xml:space="preserve"> Г. </w:t>
            </w:r>
          </w:p>
          <w:p w:rsidR="00DF7409" w:rsidRDefault="00414BC1">
            <w:pPr>
              <w:spacing w:after="0" w:line="259" w:lineRule="auto"/>
              <w:ind w:right="72" w:firstLine="0"/>
              <w:jc w:val="center"/>
            </w:pPr>
            <w:r>
              <w:rPr>
                <w:sz w:val="24"/>
              </w:rPr>
              <w:t xml:space="preserve">[104], </w:t>
            </w:r>
          </w:p>
          <w:p w:rsidR="00DF7409" w:rsidRDefault="00414BC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2009 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 xml:space="preserve">фінансова надійність компанії зі страхування життя є складною </w:t>
            </w:r>
            <w:r>
              <w:rPr>
                <w:sz w:val="24"/>
              </w:rPr>
              <w:t xml:space="preserve">багатовимірною характеристикою фінансового стану компанії, а її оцінювання </w:t>
            </w:r>
            <w:proofErr w:type="spellStart"/>
            <w:r>
              <w:rPr>
                <w:sz w:val="24"/>
              </w:rPr>
              <w:t>ускладнюється</w:t>
            </w:r>
            <w:proofErr w:type="spellEnd"/>
            <w:r>
              <w:rPr>
                <w:sz w:val="24"/>
              </w:rPr>
              <w:t xml:space="preserve"> значною кількістю показників, що її визначають </w:t>
            </w:r>
          </w:p>
        </w:tc>
      </w:tr>
      <w:tr w:rsidR="00DF7409">
        <w:trPr>
          <w:trHeight w:val="166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72" w:firstLine="0"/>
              <w:jc w:val="center"/>
            </w:pPr>
            <w:proofErr w:type="spellStart"/>
            <w:r>
              <w:rPr>
                <w:sz w:val="24"/>
              </w:rPr>
              <w:t>Шакура</w:t>
            </w:r>
            <w:proofErr w:type="spellEnd"/>
            <w:r>
              <w:rPr>
                <w:sz w:val="24"/>
              </w:rPr>
              <w:t xml:space="preserve"> О.  </w:t>
            </w:r>
          </w:p>
          <w:p w:rsidR="00DF7409" w:rsidRDefault="00414BC1">
            <w:pPr>
              <w:spacing w:after="0" w:line="259" w:lineRule="auto"/>
              <w:ind w:right="72" w:firstLine="0"/>
              <w:jc w:val="center"/>
            </w:pPr>
            <w:r>
              <w:rPr>
                <w:sz w:val="24"/>
              </w:rPr>
              <w:t xml:space="preserve">[105], </w:t>
            </w:r>
          </w:p>
          <w:p w:rsidR="00DF7409" w:rsidRDefault="00414BC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2013 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 xml:space="preserve">під фінансовою надійністю страховика необхідно розуміти його здатність адекватно реагувати </w:t>
            </w:r>
            <w:r>
              <w:rPr>
                <w:sz w:val="24"/>
              </w:rPr>
              <w:t>на змінні умови зовнішнього і внутрішнього середовища шляхом підвищення ефективності управління якісним та кількісним складом активів і пасивів компанії та найбільш повного використання знань і досвіду працівників без припинення виконання взятих зобов'язан</w:t>
            </w:r>
            <w:r>
              <w:rPr>
                <w:sz w:val="24"/>
              </w:rPr>
              <w:t xml:space="preserve">ь та забезпечення подальшого розвитку </w:t>
            </w:r>
          </w:p>
        </w:tc>
      </w:tr>
    </w:tbl>
    <w:p w:rsidR="00DF7409" w:rsidRDefault="00414BC1">
      <w:pPr>
        <w:spacing w:after="0" w:line="259" w:lineRule="auto"/>
        <w:ind w:left="10" w:right="73" w:hanging="10"/>
        <w:jc w:val="right"/>
      </w:pPr>
      <w:r>
        <w:t>Продовження таблиці 6.2</w:t>
      </w:r>
    </w:p>
    <w:tbl>
      <w:tblPr>
        <w:tblStyle w:val="TableGrid"/>
        <w:tblW w:w="9858" w:type="dxa"/>
        <w:tblInd w:w="-110" w:type="dxa"/>
        <w:tblCellMar>
          <w:top w:w="7" w:type="dxa"/>
          <w:left w:w="11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671"/>
        <w:gridCol w:w="8187"/>
      </w:tblGrid>
      <w:tr w:rsidR="00DF7409">
        <w:trPr>
          <w:trHeight w:val="28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7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F7409">
        <w:trPr>
          <w:trHeight w:val="139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77" w:firstLine="0"/>
              <w:jc w:val="center"/>
            </w:pPr>
            <w:proofErr w:type="spellStart"/>
            <w:r>
              <w:rPr>
                <w:sz w:val="24"/>
              </w:rPr>
              <w:t>Кисільова</w:t>
            </w:r>
            <w:proofErr w:type="spellEnd"/>
            <w:r>
              <w:rPr>
                <w:sz w:val="24"/>
              </w:rPr>
              <w:t xml:space="preserve"> І.  </w:t>
            </w:r>
          </w:p>
          <w:p w:rsidR="00DF7409" w:rsidRDefault="00414BC1">
            <w:pPr>
              <w:spacing w:after="0" w:line="259" w:lineRule="auto"/>
              <w:ind w:right="72" w:firstLine="0"/>
              <w:jc w:val="center"/>
            </w:pPr>
            <w:r>
              <w:rPr>
                <w:sz w:val="24"/>
              </w:rPr>
              <w:t xml:space="preserve">[106], </w:t>
            </w:r>
          </w:p>
          <w:p w:rsidR="00DF7409" w:rsidRDefault="00414BC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2014 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>фінансова надійність страховика – це спроможність страховика виконати страхові зобов’язання, прийняті за договорами страхування та перестрахування у випадку</w:t>
            </w:r>
            <w:r>
              <w:rPr>
                <w:sz w:val="24"/>
              </w:rPr>
              <w:t xml:space="preserve"> впливу несприятливих чинників. Тому стійка фінансова надійність страхових операцій дає змогу страховикові виконати усі зобов’язання </w:t>
            </w:r>
            <w:proofErr w:type="spellStart"/>
            <w:r>
              <w:rPr>
                <w:sz w:val="24"/>
              </w:rPr>
              <w:t>забудь</w:t>
            </w:r>
            <w:proofErr w:type="spellEnd"/>
            <w:r>
              <w:rPr>
                <w:sz w:val="24"/>
              </w:rPr>
              <w:t xml:space="preserve">-яких несприятливих обставин </w:t>
            </w:r>
          </w:p>
        </w:tc>
      </w:tr>
      <w:tr w:rsidR="00DF7409">
        <w:trPr>
          <w:trHeight w:val="360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16" w:line="259" w:lineRule="auto"/>
              <w:ind w:right="77" w:firstLine="0"/>
              <w:jc w:val="center"/>
            </w:pPr>
            <w:proofErr w:type="spellStart"/>
            <w:r>
              <w:rPr>
                <w:sz w:val="24"/>
              </w:rPr>
              <w:t>Братюк</w:t>
            </w:r>
            <w:proofErr w:type="spellEnd"/>
            <w:r>
              <w:rPr>
                <w:sz w:val="24"/>
              </w:rPr>
              <w:t xml:space="preserve"> В., </w:t>
            </w:r>
          </w:p>
          <w:p w:rsidR="00DF7409" w:rsidRDefault="00414BC1">
            <w:pPr>
              <w:spacing w:after="0" w:line="259" w:lineRule="auto"/>
              <w:ind w:right="72" w:firstLine="0"/>
              <w:jc w:val="center"/>
            </w:pPr>
            <w:proofErr w:type="spellStart"/>
            <w:r>
              <w:rPr>
                <w:sz w:val="24"/>
              </w:rPr>
              <w:t>Гудачок</w:t>
            </w:r>
            <w:proofErr w:type="spellEnd"/>
            <w:r>
              <w:rPr>
                <w:sz w:val="24"/>
              </w:rPr>
              <w:t xml:space="preserve"> Я., </w:t>
            </w:r>
          </w:p>
          <w:p w:rsidR="00DF7409" w:rsidRDefault="00414BC1">
            <w:pPr>
              <w:spacing w:after="0" w:line="259" w:lineRule="auto"/>
              <w:ind w:right="72" w:firstLine="0"/>
              <w:jc w:val="center"/>
            </w:pPr>
            <w:r>
              <w:rPr>
                <w:sz w:val="24"/>
              </w:rPr>
              <w:t xml:space="preserve">[107], </w:t>
            </w:r>
          </w:p>
          <w:p w:rsidR="00DF7409" w:rsidRDefault="00414BC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2014 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56" w:firstLine="0"/>
            </w:pPr>
            <w:r>
              <w:rPr>
                <w:sz w:val="24"/>
              </w:rPr>
              <w:t xml:space="preserve">фінансова надійність страхової компанії – це </w:t>
            </w:r>
            <w:r>
              <w:rPr>
                <w:sz w:val="24"/>
              </w:rPr>
              <w:t>такий стан організації  її грошових потоків (вхідних і вихідних), при якому страхова компанія здатна своєчасно та в повному обсязі виконувати свої зобов’язання   відносно всіх суб’єктів ринку протягом визначеного часу за рахунок  залучених  і  власних ресу</w:t>
            </w:r>
            <w:r>
              <w:rPr>
                <w:sz w:val="24"/>
              </w:rPr>
              <w:t xml:space="preserve">рсів, забезпечувати відновлення своїх фінансових показників за </w:t>
            </w:r>
            <w:proofErr w:type="spellStart"/>
            <w:r>
              <w:rPr>
                <w:sz w:val="24"/>
              </w:rPr>
              <w:t>будьякого</w:t>
            </w:r>
            <w:proofErr w:type="spellEnd"/>
            <w:r>
              <w:rPr>
                <w:sz w:val="24"/>
              </w:rPr>
              <w:t xml:space="preserve"> несприятливого впливу до бажаного і оптимального рівня, адаптуватися  до постійного змінюваного економічного середовища, використовувати нові обставини, властивості та відносини для ц</w:t>
            </w:r>
            <w:r>
              <w:rPr>
                <w:sz w:val="24"/>
              </w:rPr>
              <w:t>ілеспрямованого і динамічного розвитку страховика на основі зростання прибутку й капіталу в даний час і в прогнозованій перспективі. Забезпечення фінансової надійності страховика, як суб’єкта господарювання, полягає у забезпеченні правильного та ефективног</w:t>
            </w:r>
            <w:r>
              <w:rPr>
                <w:sz w:val="24"/>
              </w:rPr>
              <w:t xml:space="preserve">о співвідношення власного і позикового капіталу для забезпечення фінансової стійкості </w:t>
            </w:r>
          </w:p>
        </w:tc>
      </w:tr>
    </w:tbl>
    <w:p w:rsidR="00DF7409" w:rsidRDefault="00414BC1">
      <w:pPr>
        <w:spacing w:after="132" w:line="259" w:lineRule="auto"/>
        <w:ind w:left="144" w:right="65" w:firstLine="0"/>
      </w:pPr>
      <w:r>
        <w:t xml:space="preserve">Складено авторами за [103, 104, 105, 106, 107] </w:t>
      </w:r>
    </w:p>
    <w:p w:rsidR="00DF7409" w:rsidRDefault="00414BC1">
      <w:pPr>
        <w:spacing w:after="136" w:line="259" w:lineRule="auto"/>
        <w:ind w:left="710" w:right="0" w:firstLine="0"/>
        <w:jc w:val="left"/>
      </w:pPr>
      <w:r>
        <w:t xml:space="preserve"> </w:t>
      </w:r>
    </w:p>
    <w:p w:rsidR="00DF7409" w:rsidRDefault="00414BC1">
      <w:pPr>
        <w:ind w:left="14" w:right="65"/>
      </w:pPr>
      <w:r>
        <w:t xml:space="preserve">Отже, аналіз визначень категорії «фінансова надійність страховика» сучасними науковцями дозволяє зробити висновок, що її зміст досить щільно притискається і дещо перетинається з визначеннями категорії «фінансова стійкість страховика».  </w:t>
      </w:r>
    </w:p>
    <w:p w:rsidR="00DF7409" w:rsidRDefault="00414BC1">
      <w:pPr>
        <w:ind w:left="14" w:right="65"/>
      </w:pPr>
      <w:r>
        <w:lastRenderedPageBreak/>
        <w:t>Дослідження та анал</w:t>
      </w:r>
      <w:r>
        <w:t>із останніх наукових публікацій свідчить про систематизацію окремими науковцями існуючих думок і виділення ними підходів щодо можливості ототожнення чи розмежування зазначених категорій. Так, Олійник В.М. систематизував існуючі науково-методичні підходи до</w:t>
      </w:r>
      <w:r>
        <w:t xml:space="preserve"> визначення цих категорій і виділив два основних, з метою визначення доцільності та правомірності їх застосування: </w:t>
      </w:r>
    </w:p>
    <w:p w:rsidR="00DF7409" w:rsidRDefault="00414BC1">
      <w:pPr>
        <w:ind w:left="14" w:right="65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поняття «фінансова стійкість» та «фінансова надійність» ототожнюються й можуть рівноправно використовуватися (представники:  В. Д. </w:t>
      </w:r>
      <w:proofErr w:type="spellStart"/>
      <w:r>
        <w:t>Бігдаш</w:t>
      </w:r>
      <w:proofErr w:type="spellEnd"/>
      <w:r>
        <w:t>,</w:t>
      </w:r>
      <w:r>
        <w:t xml:space="preserve"> Д. </w:t>
      </w:r>
      <w:proofErr w:type="spellStart"/>
      <w:r>
        <w:t>Бланд</w:t>
      </w:r>
      <w:proofErr w:type="spellEnd"/>
      <w:r>
        <w:t xml:space="preserve">, Н. М. Внукова, О. Д. Вовчак, Ю. М. </w:t>
      </w:r>
      <w:proofErr w:type="spellStart"/>
      <w:r>
        <w:t>Дьячкова</w:t>
      </w:r>
      <w:proofErr w:type="spellEnd"/>
      <w:r>
        <w:t xml:space="preserve">,  </w:t>
      </w:r>
    </w:p>
    <w:p w:rsidR="00DF7409" w:rsidRDefault="00414BC1">
      <w:pPr>
        <w:spacing w:after="190" w:line="259" w:lineRule="auto"/>
        <w:ind w:left="14" w:right="65" w:firstLine="0"/>
      </w:pPr>
      <w:r>
        <w:t xml:space="preserve">С. С. </w:t>
      </w:r>
      <w:proofErr w:type="spellStart"/>
      <w:r>
        <w:t>Осадець</w:t>
      </w:r>
      <w:proofErr w:type="spellEnd"/>
      <w:r>
        <w:t xml:space="preserve">). </w:t>
      </w:r>
    </w:p>
    <w:p w:rsidR="00DF7409" w:rsidRDefault="00414BC1">
      <w:pPr>
        <w:ind w:left="14" w:right="65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фінансова надійність визначається авторами як поняття, яке вужче, ніж фінансова стійкість, та є його похідною (представники: І. С. Іванюк та </w:t>
      </w:r>
    </w:p>
    <w:p w:rsidR="00DF7409" w:rsidRDefault="00414BC1">
      <w:pPr>
        <w:ind w:left="14" w:right="65" w:firstLine="0"/>
      </w:pPr>
      <w:r>
        <w:t>Н. В. Ткаченко). На думку зазначених науковців, необхідною умовою фінансової стійкості є не лише платоспроможність страхової компанії, а й її фінансова надійність. Тобто страхова компанія, що є фінансово надійною не обов’язково буде фінансово стійкою, а фі</w:t>
      </w:r>
      <w:r>
        <w:t xml:space="preserve">нансово стійка завжди буде фінансово надійною [98]. </w:t>
      </w:r>
    </w:p>
    <w:p w:rsidR="00DF7409" w:rsidRDefault="00414BC1">
      <w:pPr>
        <w:ind w:left="14" w:right="65"/>
      </w:pPr>
      <w:r>
        <w:t>Отже, погоджуючись в цілому з думкою Н.В. Ткаченко [101] стосовно необхідності обґрунтованого розмежування і чіткого виділення різниці між цими двома категоріями, вважаємо за доцільне акцентувати увагу н</w:t>
      </w:r>
      <w:r>
        <w:t>а тому, що «фінансова стійкість» – це показник (індикатор), який за змістовним наповненням є більш важливим для фахівців, а надійність – це параметр, який з суб’єктивної точки зору є інтуїтивно зрозумілим для споживача страхових послуг та цікавить його у п</w:t>
      </w:r>
      <w:r>
        <w:t xml:space="preserve">ершу чергу. </w:t>
      </w:r>
    </w:p>
    <w:p w:rsidR="00DF7409" w:rsidRDefault="00414BC1">
      <w:pPr>
        <w:ind w:left="14" w:right="65"/>
      </w:pPr>
      <w:r>
        <w:t>Фінансова стійкість, з одного боку, постає об’єктом внутрішнього фінансового управління безпосередньо в самій страховій компанії, а з іншого – виступає індикатором для регуляторних органів страхового ринку та різноманітних рейтингових агенцій.</w:t>
      </w:r>
      <w:r>
        <w:t xml:space="preserve"> Тому  страховик має на меті підвищувати </w:t>
      </w:r>
      <w:r>
        <w:lastRenderedPageBreak/>
        <w:t>власну фінансову стійкість як з задля підтримання нормативів щодо фінансових показників, так і намагаючись сформувати позитивний імідж надійного постачальника послуги в очах страхувальника. Ці два аспекти, безумовно</w:t>
      </w:r>
      <w:r>
        <w:t xml:space="preserve">, тісно пов’язані та переплетені між собою, що й викликає їх використання майже як синонімів.  </w:t>
      </w:r>
    </w:p>
    <w:p w:rsidR="00DF7409" w:rsidRDefault="00414BC1">
      <w:pPr>
        <w:ind w:left="14" w:right="65"/>
      </w:pPr>
      <w:r>
        <w:t>При цьому, на наш погляд, фінансову надійність страховика можна розглядати як трансмісійний передатний механізм, за допомогою якого зростають фактичні показники</w:t>
      </w:r>
      <w:r>
        <w:t xml:space="preserve"> фінансової стійкості страхової компанії. Адже, чим більш надійною вважають клієнти конкретну страхову компанію, тим вищим буде рівень довіри до неї з боку й інших страхувальників, тим більшого обсягу буде сягати її страховий портфель та обсяг залучених ре</w:t>
      </w:r>
      <w:r>
        <w:t>сурсів, які можуть використовуватися з інвестиційною метою. Саме тому при оцінці фінансової надійності вважаємо за доцільне залучати до аналізу не лише традиційні фінансові показники, які кількісно характеризують платіжні можливості страхувальника, синхрон</w:t>
      </w:r>
      <w:r>
        <w:t xml:space="preserve">ізацію його грошових потоків, структурну збалансованість інвестиційного портфелю, тощо, а й якісні показники, які можна визначати через рівень задоволення споживачів, імідж компанії та інші складові нематеріального змісту. </w:t>
      </w:r>
    </w:p>
    <w:p w:rsidR="00DF7409" w:rsidRDefault="00414BC1">
      <w:pPr>
        <w:ind w:left="14" w:right="65"/>
      </w:pPr>
      <w:r>
        <w:t>Наслідком підвищення такої харак</w:t>
      </w:r>
      <w:r>
        <w:t>теристики як «фінансова надійність» (якщо компанії приділятимуть цьому увагу цілеспрямовано) може стати перерозподіл прибутків в межах страхового ринку на користь більш надійних з точки зору страхувальника компаній. Це, в свою чергу, позитивно впливатиме н</w:t>
      </w:r>
      <w:r>
        <w:t>а фінансову стійкість та стабільність тих страховиків, які зможуть забезпечити та підтримувати високий рівень надійності в очах кінцевого споживача їх послуг та сприятиме загальній стабілізації страхового ринку, довіра до якого в Україні поки що є недостат</w:t>
      </w:r>
      <w:r>
        <w:t xml:space="preserve">ньою. </w:t>
      </w:r>
    </w:p>
    <w:p w:rsidR="00DF7409" w:rsidRDefault="00414BC1">
      <w:pPr>
        <w:ind w:left="14" w:right="65"/>
      </w:pPr>
      <w:r>
        <w:t xml:space="preserve">Таким чином, погоджуючись з тими науковцями, які вважають не зовсім коректним ототожнення вищезазначених категорій, ми підтримуємо доцільність </w:t>
      </w:r>
      <w:r>
        <w:lastRenderedPageBreak/>
        <w:t>деталізації та уточнення переліку показників, за якими мають оцінюватись фінансова надійність та фінансова</w:t>
      </w:r>
      <w:r>
        <w:t xml:space="preserve"> стійкість страхової компанії, та пропонуємо власний погляд на систематизацію основних </w:t>
      </w:r>
      <w:proofErr w:type="spellStart"/>
      <w:r>
        <w:t>фінансовоекономічних</w:t>
      </w:r>
      <w:proofErr w:type="spellEnd"/>
      <w:r>
        <w:t xml:space="preserve"> індикаторів.  </w:t>
      </w:r>
    </w:p>
    <w:p w:rsidR="00DF7409" w:rsidRDefault="00414BC1">
      <w:pPr>
        <w:ind w:left="14" w:right="65"/>
      </w:pPr>
      <w:r>
        <w:t>В науковій літературі також існує багато підходів і розбіжностей стосовно кількісного та якісного складу показників, за якими проводи</w:t>
      </w:r>
      <w:r>
        <w:t>ться оцінка фінансової надійності та фінансової стійкості страхових компаній. З метою деталізації існуючих показників та подальшої конкретизації тих з них, за якими можна оцінювати фінансову надійність страховика (як складову фінансової стійкості страхової</w:t>
      </w:r>
      <w:r>
        <w:t xml:space="preserve"> компанії), в табл. 6.3 нами узагальнено показники, які використовуються для оцінки фінансової надійності страховика (табл. 6.3). </w:t>
      </w:r>
    </w:p>
    <w:p w:rsidR="00DF7409" w:rsidRDefault="00414BC1">
      <w:pPr>
        <w:ind w:left="14" w:right="65"/>
      </w:pPr>
      <w:r>
        <w:t>Якщо проаналізувати показники, за якими пропонується оцінювати фінансову надійність страховика в різних джерелах, то можна ві</w:t>
      </w:r>
      <w:r>
        <w:t xml:space="preserve">дзначити, що більшість показників є кількісними та перетинаються з показниками Розпорядження Державної комісії з регулювання ринків фінансових послуг України від 17.03.2005 № 3755 [108]. Методика рейтингу надійності страхових компаній </w:t>
      </w:r>
      <w:proofErr w:type="spellStart"/>
      <w:r>
        <w:t>Forbes.Україна</w:t>
      </w:r>
      <w:proofErr w:type="spellEnd"/>
      <w:r>
        <w:t xml:space="preserve"> доповн</w:t>
      </w:r>
      <w:r>
        <w:t>ює перелік кількісних показників якісним показником «Входження в міжнародну фінансову групу». Деякі з показників, що запропонував Олійник В.М. [98], а саме, коефіцієнт автономії та ділової активності, на думку авторів, в більшому ступені характеризують фін</w:t>
      </w:r>
      <w:r>
        <w:t xml:space="preserve">ансову стійкість, а не фінансову надійність страховика. </w:t>
      </w:r>
    </w:p>
    <w:p w:rsidR="00DF7409" w:rsidRDefault="00414BC1">
      <w:pPr>
        <w:spacing w:after="170" w:line="259" w:lineRule="auto"/>
        <w:ind w:left="710" w:right="0" w:firstLine="0"/>
        <w:jc w:val="left"/>
      </w:pPr>
      <w:r>
        <w:t xml:space="preserve"> </w:t>
      </w:r>
    </w:p>
    <w:p w:rsidR="00DF7409" w:rsidRDefault="00414BC1">
      <w:pPr>
        <w:spacing w:after="185" w:line="259" w:lineRule="auto"/>
        <w:ind w:left="10" w:right="73" w:hanging="10"/>
        <w:jc w:val="right"/>
      </w:pPr>
      <w:r>
        <w:t xml:space="preserve">Таблиця 6.3.  </w:t>
      </w:r>
    </w:p>
    <w:p w:rsidR="00DF7409" w:rsidRDefault="00414BC1">
      <w:pPr>
        <w:spacing w:after="0" w:line="259" w:lineRule="auto"/>
        <w:ind w:left="45" w:right="113" w:hanging="10"/>
        <w:jc w:val="center"/>
      </w:pPr>
      <w:r>
        <w:t xml:space="preserve">Показники оцінки фінансової надійності страховика </w:t>
      </w:r>
    </w:p>
    <w:tbl>
      <w:tblPr>
        <w:tblStyle w:val="TableGrid"/>
        <w:tblW w:w="9858" w:type="dxa"/>
        <w:tblInd w:w="-110" w:type="dxa"/>
        <w:tblCellMar>
          <w:top w:w="50" w:type="dxa"/>
          <w:left w:w="111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2012"/>
        <w:gridCol w:w="7846"/>
      </w:tblGrid>
      <w:tr w:rsidR="00DF7409">
        <w:trPr>
          <w:trHeight w:val="28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76" w:firstLine="0"/>
              <w:jc w:val="center"/>
            </w:pPr>
            <w:r>
              <w:rPr>
                <w:sz w:val="24"/>
              </w:rPr>
              <w:t xml:space="preserve">Джерело 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Показники </w:t>
            </w:r>
          </w:p>
        </w:tc>
      </w:tr>
      <w:tr w:rsidR="00DF7409">
        <w:trPr>
          <w:trHeight w:val="289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23" w:line="259" w:lineRule="auto"/>
              <w:ind w:left="100" w:right="0" w:firstLine="0"/>
              <w:jc w:val="left"/>
            </w:pPr>
            <w:r>
              <w:rPr>
                <w:sz w:val="24"/>
              </w:rPr>
              <w:t xml:space="preserve">Розпорядження </w:t>
            </w:r>
          </w:p>
          <w:p w:rsidR="00DF7409" w:rsidRDefault="00414BC1">
            <w:pPr>
              <w:spacing w:after="9" w:line="272" w:lineRule="auto"/>
              <w:ind w:left="3" w:right="18" w:firstLine="0"/>
              <w:jc w:val="center"/>
            </w:pPr>
            <w:r>
              <w:rPr>
                <w:sz w:val="24"/>
              </w:rPr>
              <w:t xml:space="preserve">Державної комісії з </w:t>
            </w:r>
          </w:p>
          <w:p w:rsidR="00DF7409" w:rsidRDefault="00414BC1">
            <w:pPr>
              <w:spacing w:after="7" w:line="274" w:lineRule="auto"/>
              <w:ind w:right="0" w:firstLine="0"/>
              <w:jc w:val="center"/>
            </w:pPr>
            <w:r>
              <w:rPr>
                <w:sz w:val="24"/>
              </w:rPr>
              <w:t xml:space="preserve">регулювання ринків </w:t>
            </w:r>
          </w:p>
          <w:p w:rsidR="00DF7409" w:rsidRDefault="00414BC1">
            <w:pPr>
              <w:spacing w:after="17" w:line="259" w:lineRule="auto"/>
              <w:ind w:right="71" w:firstLine="0"/>
              <w:jc w:val="center"/>
            </w:pPr>
            <w:r>
              <w:rPr>
                <w:sz w:val="24"/>
              </w:rPr>
              <w:t xml:space="preserve">фінансових </w:t>
            </w:r>
          </w:p>
          <w:p w:rsidR="00DF7409" w:rsidRDefault="00414BC1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lastRenderedPageBreak/>
              <w:t xml:space="preserve">послуг України </w:t>
            </w:r>
          </w:p>
          <w:p w:rsidR="00DF7409" w:rsidRDefault="00414BC1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від 17.03.2005 № </w:t>
            </w:r>
          </w:p>
          <w:p w:rsidR="00DF7409" w:rsidRDefault="00414BC1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3755 [</w:t>
            </w:r>
            <w:r>
              <w:rPr>
                <w:sz w:val="24"/>
              </w:rPr>
              <w:t xml:space="preserve">108] 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 xml:space="preserve">Показник дебіторської заборгованості </w:t>
            </w:r>
          </w:p>
        </w:tc>
      </w:tr>
      <w:tr w:rsidR="00DF740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Показник ліквідності активів </w:t>
            </w:r>
          </w:p>
        </w:tc>
      </w:tr>
      <w:tr w:rsidR="00DF740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Показник ризику страхування </w:t>
            </w:r>
          </w:p>
        </w:tc>
      </w:tr>
      <w:tr w:rsidR="00DF740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Зворотний показник платоспроможності </w:t>
            </w:r>
          </w:p>
        </w:tc>
      </w:tr>
      <w:tr w:rsidR="00DF740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Показник доходності </w:t>
            </w:r>
          </w:p>
        </w:tc>
      </w:tr>
      <w:tr w:rsidR="00DF740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Показник змін у капіталі </w:t>
            </w:r>
          </w:p>
        </w:tc>
      </w:tr>
      <w:tr w:rsidR="00DF740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Показник змін у сумі чистих премій за всіма полісами </w:t>
            </w:r>
          </w:p>
        </w:tc>
      </w:tr>
      <w:tr w:rsidR="00DF740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Показник незалежності від перестрахування </w:t>
            </w:r>
          </w:p>
        </w:tc>
      </w:tr>
      <w:tr w:rsidR="00DF740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Показник відношення чистих страхових резервів та капіталу </w:t>
            </w:r>
          </w:p>
        </w:tc>
      </w:tr>
      <w:tr w:rsidR="00DF740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Показник доходності інвестицій </w:t>
            </w:r>
          </w:p>
        </w:tc>
      </w:tr>
      <w:tr w:rsidR="00DF740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Показник обсягів страхування (андерайтингу) </w:t>
            </w:r>
          </w:p>
        </w:tc>
      </w:tr>
      <w:tr w:rsidR="00DF7409">
        <w:trPr>
          <w:trHeight w:val="283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5" w:line="275" w:lineRule="auto"/>
              <w:ind w:right="0" w:firstLine="0"/>
              <w:jc w:val="center"/>
            </w:pPr>
            <w:r>
              <w:rPr>
                <w:sz w:val="24"/>
              </w:rPr>
              <w:t xml:space="preserve">Методика рейтингу </w:t>
            </w:r>
          </w:p>
          <w:p w:rsidR="00DF7409" w:rsidRDefault="00414BC1">
            <w:pPr>
              <w:spacing w:after="5" w:line="275" w:lineRule="auto"/>
              <w:ind w:right="0" w:firstLine="0"/>
              <w:jc w:val="center"/>
            </w:pPr>
            <w:r>
              <w:rPr>
                <w:sz w:val="24"/>
              </w:rPr>
              <w:t xml:space="preserve">надійності страхових </w:t>
            </w:r>
          </w:p>
          <w:p w:rsidR="00DF7409" w:rsidRDefault="00414BC1">
            <w:pPr>
              <w:spacing w:after="19" w:line="259" w:lineRule="auto"/>
              <w:ind w:right="73" w:firstLine="0"/>
              <w:jc w:val="center"/>
            </w:pPr>
            <w:r>
              <w:rPr>
                <w:sz w:val="24"/>
              </w:rPr>
              <w:t xml:space="preserve">компаній </w:t>
            </w:r>
          </w:p>
          <w:p w:rsidR="00DF7409" w:rsidRDefault="00414BC1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sz w:val="24"/>
              </w:rPr>
              <w:t>Forbes.Україна</w:t>
            </w:r>
            <w:proofErr w:type="spellEnd"/>
            <w:r>
              <w:rPr>
                <w:sz w:val="24"/>
              </w:rPr>
              <w:t xml:space="preserve"> [109</w:t>
            </w:r>
            <w:r>
              <w:rPr>
                <w:sz w:val="24"/>
              </w:rPr>
              <w:t xml:space="preserve">] 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Показник боргового навантаження </w:t>
            </w:r>
          </w:p>
        </w:tc>
      </w:tr>
      <w:tr w:rsidR="00DF740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Показник ліквідності активів </w:t>
            </w:r>
          </w:p>
        </w:tc>
      </w:tr>
      <w:tr w:rsidR="00DF740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Показник рівня виплат </w:t>
            </w:r>
          </w:p>
        </w:tc>
      </w:tr>
      <w:tr w:rsidR="00DF740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Показник приросту страхових премій </w:t>
            </w:r>
          </w:p>
        </w:tc>
      </w:tr>
      <w:tr w:rsidR="00DF740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Показник приросту капіталу </w:t>
            </w:r>
          </w:p>
        </w:tc>
      </w:tr>
      <w:tr w:rsidR="00DF740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Показник рівня перестрахування </w:t>
            </w:r>
          </w:p>
        </w:tc>
      </w:tr>
      <w:tr w:rsidR="00DF7409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Коефіцієнт фінансової стійкості </w:t>
            </w:r>
          </w:p>
        </w:tc>
      </w:tr>
      <w:tr w:rsidR="00DF740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Входження в міжнародну </w:t>
            </w:r>
            <w:r>
              <w:rPr>
                <w:sz w:val="24"/>
              </w:rPr>
              <w:t xml:space="preserve">фінансову групу </w:t>
            </w:r>
          </w:p>
        </w:tc>
      </w:tr>
      <w:tr w:rsidR="00DF7409">
        <w:trPr>
          <w:trHeight w:val="288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Олійник В.М. [98] 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Коефіцієнт збитковості </w:t>
            </w:r>
          </w:p>
        </w:tc>
      </w:tr>
      <w:tr w:rsidR="00DF7409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Коефіцієнт оборотності кредиторської заборгованості за страховими виплатами </w:t>
            </w:r>
          </w:p>
        </w:tc>
      </w:tr>
      <w:tr w:rsidR="00DF740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Коефіцієнт поточної ліквідності </w:t>
            </w:r>
          </w:p>
        </w:tc>
      </w:tr>
      <w:tr w:rsidR="00DF740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Коефіцієнт боргового навантаження </w:t>
            </w:r>
          </w:p>
        </w:tc>
      </w:tr>
      <w:tr w:rsidR="00DF740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Коефіцієнт достатності страхових резервів </w:t>
            </w:r>
          </w:p>
        </w:tc>
      </w:tr>
      <w:tr w:rsidR="00DF740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Коефіцієнт власного утримання в преміях </w:t>
            </w:r>
          </w:p>
        </w:tc>
      </w:tr>
      <w:tr w:rsidR="00DF740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Коефіцієнт рентабельності продаж </w:t>
            </w:r>
          </w:p>
        </w:tc>
      </w:tr>
      <w:tr w:rsidR="00DF740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Коефіцієнт автономії </w:t>
            </w:r>
          </w:p>
        </w:tc>
      </w:tr>
      <w:tr w:rsidR="00DF740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Коефіцієнт ділової активності </w:t>
            </w:r>
          </w:p>
        </w:tc>
      </w:tr>
      <w:tr w:rsidR="00DF7409">
        <w:trPr>
          <w:trHeight w:val="289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Кравченко В.О. [110] 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Коефіцієнт фінансової спроможності </w:t>
            </w:r>
          </w:p>
        </w:tc>
      </w:tr>
      <w:tr w:rsidR="00DF740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Коефіцієнт ліквідності страхових резервів </w:t>
            </w:r>
          </w:p>
        </w:tc>
      </w:tr>
      <w:tr w:rsidR="00DF740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DF740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Коефіцієнт </w:t>
            </w:r>
            <w:r>
              <w:rPr>
                <w:sz w:val="24"/>
              </w:rPr>
              <w:t xml:space="preserve">страхового покриття </w:t>
            </w:r>
          </w:p>
        </w:tc>
      </w:tr>
    </w:tbl>
    <w:p w:rsidR="00DF7409" w:rsidRDefault="00414BC1">
      <w:pPr>
        <w:spacing w:after="98" w:line="259" w:lineRule="auto"/>
        <w:ind w:left="14" w:right="65" w:firstLine="0"/>
      </w:pPr>
      <w:r>
        <w:t xml:space="preserve">Складено за [98, 108, 109, 110] </w:t>
      </w:r>
    </w:p>
    <w:p w:rsidR="00DF7409" w:rsidRDefault="00414BC1">
      <w:pPr>
        <w:spacing w:after="0" w:line="259" w:lineRule="auto"/>
        <w:ind w:left="710" w:right="0" w:firstLine="0"/>
        <w:jc w:val="left"/>
      </w:pPr>
      <w:r>
        <w:rPr>
          <w:sz w:val="24"/>
        </w:rPr>
        <w:t xml:space="preserve"> </w:t>
      </w:r>
    </w:p>
    <w:p w:rsidR="00DF7409" w:rsidRDefault="00414BC1">
      <w:pPr>
        <w:spacing w:after="185" w:line="259" w:lineRule="auto"/>
        <w:ind w:left="10" w:right="73" w:hanging="10"/>
        <w:jc w:val="right"/>
      </w:pPr>
      <w:r>
        <w:t xml:space="preserve">Окрім того, в табл. 6.9 представлені показники, які за різними джерелами </w:t>
      </w:r>
    </w:p>
    <w:p w:rsidR="00DF7409" w:rsidRDefault="00414BC1">
      <w:pPr>
        <w:ind w:left="14" w:right="65" w:firstLine="0"/>
      </w:pPr>
      <w:r>
        <w:t>(авторами) можуть називатися по-</w:t>
      </w:r>
      <w:r>
        <w:t>різному, але мати однакову сутність. Наприклад, показник незалежності від перестрахування в [108] – це теж саме, що в [109] показник рівня перестрахування та коефіцієнт власного утримання в преміях в [98]. Подібним чином, виділивши однакові за сутністю пок</w:t>
      </w:r>
      <w:r>
        <w:t xml:space="preserve">азники, можна дещо скоротити їх кількість. Це, в свою чергу, дасть можливість спростити та уніфікувати підходи до оцінки фінансової надійності страхових компаній.  </w:t>
      </w:r>
    </w:p>
    <w:p w:rsidR="00DF7409" w:rsidRDefault="00414BC1">
      <w:pPr>
        <w:ind w:left="14" w:right="65"/>
      </w:pPr>
      <w:r>
        <w:lastRenderedPageBreak/>
        <w:t>В таблиці 6.4 нами виділені показники, які в різних джерелах мають відмінності у назвах, ал</w:t>
      </w:r>
      <w:r>
        <w:t xml:space="preserve">е характеризують одне явище чи стан фінансових ресурсів страховика. </w:t>
      </w:r>
    </w:p>
    <w:p w:rsidR="00DF7409" w:rsidRDefault="00414BC1">
      <w:pPr>
        <w:spacing w:after="185" w:line="259" w:lineRule="auto"/>
        <w:ind w:left="10" w:right="73" w:hanging="10"/>
        <w:jc w:val="right"/>
      </w:pPr>
      <w:r>
        <w:t xml:space="preserve">Таблиця 6.4.  </w:t>
      </w:r>
    </w:p>
    <w:p w:rsidR="00DF7409" w:rsidRDefault="00414BC1">
      <w:pPr>
        <w:spacing w:line="259" w:lineRule="auto"/>
        <w:ind w:left="3491" w:right="65" w:hanging="3198"/>
      </w:pPr>
      <w:r>
        <w:t xml:space="preserve">Виділення спільних показників в різних методиках оцінки рівня фінансової надійності страховика </w:t>
      </w:r>
    </w:p>
    <w:tbl>
      <w:tblPr>
        <w:tblStyle w:val="TableGrid"/>
        <w:tblW w:w="9858" w:type="dxa"/>
        <w:tblInd w:w="-110" w:type="dxa"/>
        <w:tblCellMar>
          <w:top w:w="7" w:type="dxa"/>
          <w:left w:w="115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3654"/>
        <w:gridCol w:w="3544"/>
        <w:gridCol w:w="2660"/>
      </w:tblGrid>
      <w:tr w:rsidR="00DF7409">
        <w:trPr>
          <w:trHeight w:val="1114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5" w:line="274" w:lineRule="auto"/>
              <w:ind w:right="42" w:firstLine="0"/>
              <w:jc w:val="center"/>
            </w:pPr>
            <w:r>
              <w:rPr>
                <w:sz w:val="24"/>
              </w:rPr>
              <w:t xml:space="preserve">Розпорядження Державної комісії з регулювання ринків </w:t>
            </w:r>
          </w:p>
          <w:p w:rsidR="00DF7409" w:rsidRDefault="00414BC1">
            <w:pPr>
              <w:spacing w:after="0" w:line="259" w:lineRule="auto"/>
              <w:ind w:right="107" w:firstLine="0"/>
              <w:jc w:val="center"/>
            </w:pPr>
            <w:r>
              <w:rPr>
                <w:sz w:val="24"/>
              </w:rPr>
              <w:t xml:space="preserve">фінансових послуг </w:t>
            </w:r>
            <w:r>
              <w:rPr>
                <w:sz w:val="24"/>
              </w:rPr>
              <w:t xml:space="preserve">України від </w:t>
            </w:r>
          </w:p>
          <w:p w:rsidR="00DF7409" w:rsidRDefault="00414BC1">
            <w:pPr>
              <w:spacing w:after="0" w:line="259" w:lineRule="auto"/>
              <w:ind w:right="101" w:firstLine="0"/>
              <w:jc w:val="center"/>
            </w:pPr>
            <w:r>
              <w:rPr>
                <w:sz w:val="24"/>
              </w:rPr>
              <w:t xml:space="preserve">17.03.2005 № 3755 [108]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75" w:lineRule="auto"/>
              <w:ind w:right="0" w:firstLine="0"/>
              <w:jc w:val="center"/>
            </w:pPr>
            <w:r>
              <w:rPr>
                <w:sz w:val="24"/>
              </w:rPr>
              <w:t xml:space="preserve">Методика рейтингу надійності страхових компаній </w:t>
            </w:r>
          </w:p>
          <w:p w:rsidR="00DF7409" w:rsidRDefault="00414BC1">
            <w:pPr>
              <w:spacing w:after="0" w:line="259" w:lineRule="auto"/>
              <w:ind w:right="105" w:firstLine="0"/>
              <w:jc w:val="center"/>
            </w:pPr>
            <w:proofErr w:type="spellStart"/>
            <w:r>
              <w:rPr>
                <w:sz w:val="24"/>
              </w:rPr>
              <w:t>Forbes.Україна</w:t>
            </w:r>
            <w:proofErr w:type="spellEnd"/>
            <w:r>
              <w:rPr>
                <w:sz w:val="24"/>
              </w:rPr>
              <w:t xml:space="preserve"> [109]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101" w:firstLine="0"/>
              <w:jc w:val="center"/>
            </w:pPr>
            <w:r>
              <w:rPr>
                <w:sz w:val="24"/>
              </w:rPr>
              <w:t xml:space="preserve">Олійник В.М. [98] </w:t>
            </w:r>
          </w:p>
        </w:tc>
      </w:tr>
      <w:tr w:rsidR="00DF7409">
        <w:trPr>
          <w:trHeight w:val="5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111" w:firstLine="0"/>
              <w:jc w:val="center"/>
            </w:pPr>
            <w:r>
              <w:rPr>
                <w:sz w:val="24"/>
              </w:rPr>
              <w:t xml:space="preserve">Показник ліквідності активів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116" w:firstLine="0"/>
              <w:jc w:val="center"/>
            </w:pPr>
            <w:r>
              <w:rPr>
                <w:sz w:val="24"/>
              </w:rPr>
              <w:t xml:space="preserve">Показник ліквідності активів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Коефіцієнт поточної ліквідності </w:t>
            </w:r>
          </w:p>
        </w:tc>
      </w:tr>
      <w:tr w:rsidR="00DF7409">
        <w:trPr>
          <w:trHeight w:val="5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Зворотний показник </w:t>
            </w:r>
            <w:r>
              <w:rPr>
                <w:sz w:val="24"/>
              </w:rPr>
              <w:t xml:space="preserve">платоспроможності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Показник боргового навантаження 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Коефіцієнт боргового навантаження  </w:t>
            </w:r>
          </w:p>
        </w:tc>
      </w:tr>
      <w:tr w:rsidR="00DF7409">
        <w:trPr>
          <w:trHeight w:val="5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Показник незалежності від перестрахування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3" w:right="51" w:firstLine="0"/>
              <w:jc w:val="center"/>
            </w:pPr>
            <w:r>
              <w:rPr>
                <w:sz w:val="24"/>
              </w:rPr>
              <w:t xml:space="preserve">Показник рівня перестрахування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Коефіцієнт власного утримання в преміях </w:t>
            </w:r>
          </w:p>
        </w:tc>
      </w:tr>
      <w:tr w:rsidR="00DF7409">
        <w:trPr>
          <w:trHeight w:val="5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Показник обсягів страхування (андерайтингу)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Показник рівня виплат 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 xml:space="preserve">Коефіцієнт збитковості  </w:t>
            </w:r>
          </w:p>
        </w:tc>
      </w:tr>
      <w:tr w:rsidR="00DF7409">
        <w:trPr>
          <w:trHeight w:val="28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Показник змін у капіталі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Показник приросту капіталу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DF7409">
        <w:trPr>
          <w:trHeight w:val="5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Показник змін у сумі чистих премій за всіма полісами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Показник приросту страхових премій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DF7409">
        <w:trPr>
          <w:trHeight w:val="5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106" w:firstLine="0"/>
              <w:jc w:val="center"/>
            </w:pPr>
            <w:r>
              <w:rPr>
                <w:sz w:val="24"/>
              </w:rPr>
              <w:t xml:space="preserve">Показник доходності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Коефіцієнт рентабельності </w:t>
            </w:r>
            <w:r>
              <w:rPr>
                <w:sz w:val="24"/>
              </w:rPr>
              <w:t xml:space="preserve">продаж </w:t>
            </w:r>
          </w:p>
        </w:tc>
      </w:tr>
      <w:tr w:rsidR="00DF7409">
        <w:trPr>
          <w:trHeight w:val="5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Показник відношення чистих страхових резервів та капіталу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Коефіцієнт достатності страхових резервів  </w:t>
            </w:r>
          </w:p>
        </w:tc>
      </w:tr>
      <w:tr w:rsidR="00DF7409">
        <w:trPr>
          <w:trHeight w:val="1114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Показник дебіторської заборгованості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left="812" w:right="0" w:hanging="466"/>
            </w:pPr>
            <w:r>
              <w:rPr>
                <w:sz w:val="24"/>
              </w:rPr>
              <w:t xml:space="preserve">Входження в міжнародну фінансову групу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80" w:lineRule="auto"/>
              <w:ind w:right="0" w:firstLine="0"/>
              <w:jc w:val="center"/>
            </w:pPr>
            <w:r>
              <w:rPr>
                <w:sz w:val="24"/>
              </w:rPr>
              <w:t xml:space="preserve">Коефіцієнт оборотності кредиторської </w:t>
            </w:r>
          </w:p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заборгованості за </w:t>
            </w:r>
            <w:r>
              <w:rPr>
                <w:sz w:val="24"/>
              </w:rPr>
              <w:t xml:space="preserve">страховими виплатами </w:t>
            </w:r>
          </w:p>
        </w:tc>
      </w:tr>
      <w:tr w:rsidR="00DF7409">
        <w:trPr>
          <w:trHeight w:val="28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110" w:firstLine="0"/>
              <w:jc w:val="center"/>
            </w:pPr>
            <w:r>
              <w:rPr>
                <w:sz w:val="24"/>
              </w:rPr>
              <w:t xml:space="preserve">Показник ризику страхування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 xml:space="preserve">Коефіцієнт фінансової стійкості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110" w:firstLine="0"/>
              <w:jc w:val="center"/>
            </w:pPr>
            <w:r>
              <w:rPr>
                <w:sz w:val="24"/>
              </w:rPr>
              <w:t xml:space="preserve">Коефіцієнт автономії </w:t>
            </w:r>
          </w:p>
        </w:tc>
      </w:tr>
      <w:tr w:rsidR="00DF7409">
        <w:trPr>
          <w:trHeight w:val="5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Показник доходності інвестицій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Коефіцієнт ділової активності </w:t>
            </w:r>
          </w:p>
        </w:tc>
      </w:tr>
    </w:tbl>
    <w:p w:rsidR="00DF7409" w:rsidRDefault="00414BC1">
      <w:pPr>
        <w:spacing w:line="259" w:lineRule="auto"/>
        <w:ind w:left="144" w:right="65" w:firstLine="0"/>
      </w:pPr>
      <w:r>
        <w:t xml:space="preserve">Складено за [98,108, 109, 111] та власними спостереженнями авторів </w:t>
      </w:r>
    </w:p>
    <w:p w:rsidR="00DF7409" w:rsidRDefault="00414BC1">
      <w:pPr>
        <w:spacing w:after="190" w:line="259" w:lineRule="auto"/>
        <w:ind w:left="710" w:right="65" w:firstLine="0"/>
      </w:pPr>
      <w:r>
        <w:t xml:space="preserve">Такі </w:t>
      </w:r>
      <w:r>
        <w:t xml:space="preserve">показники можна згрупувати наступним чином: </w:t>
      </w:r>
    </w:p>
    <w:p w:rsidR="00DF7409" w:rsidRDefault="00414BC1">
      <w:pPr>
        <w:ind w:left="14" w:right="65"/>
      </w:pPr>
      <w:r>
        <w:t>1)</w:t>
      </w:r>
      <w:r>
        <w:rPr>
          <w:rFonts w:ascii="Arial" w:eastAsia="Arial" w:hAnsi="Arial" w:cs="Arial"/>
        </w:rPr>
        <w:t xml:space="preserve"> </w:t>
      </w:r>
      <w:r>
        <w:t>показники, що характеризують здатність виконувати зобов’язання за рахунок капіталу, чи активів (показник ліквідності активів в [108, 109], показник поточної ліквідності в [98], зворотний показник платоспромож</w:t>
      </w:r>
      <w:r>
        <w:t xml:space="preserve">ності в </w:t>
      </w:r>
    </w:p>
    <w:p w:rsidR="00DF7409" w:rsidRDefault="00414BC1">
      <w:pPr>
        <w:spacing w:after="186" w:line="259" w:lineRule="auto"/>
        <w:ind w:left="14" w:right="65" w:firstLine="0"/>
      </w:pPr>
      <w:r>
        <w:t xml:space="preserve">[108] (або показник боргового навантаження в [98, 109])) ; </w:t>
      </w:r>
    </w:p>
    <w:p w:rsidR="00DF7409" w:rsidRDefault="00414BC1">
      <w:pPr>
        <w:numPr>
          <w:ilvl w:val="0"/>
          <w:numId w:val="1"/>
        </w:numPr>
        <w:ind w:right="65"/>
      </w:pPr>
      <w:r>
        <w:lastRenderedPageBreak/>
        <w:t xml:space="preserve">показники, що характеризують ефективність використання ресурсів (показник доходності капіталу, показник доходності інвестицій в [108], коефіцієнт рентабельності продажів в [98]); </w:t>
      </w:r>
    </w:p>
    <w:p w:rsidR="00DF7409" w:rsidRDefault="00414BC1">
      <w:pPr>
        <w:numPr>
          <w:ilvl w:val="0"/>
          <w:numId w:val="1"/>
        </w:numPr>
        <w:ind w:right="65"/>
      </w:pPr>
      <w:r>
        <w:t>показни</w:t>
      </w:r>
      <w:r>
        <w:t xml:space="preserve">ки, що характеризують достатність власних коштів для виконання страхових зобов’язань (показник відношення чистих страхових резервів та капіталу [108], коефіцієнт достатності страхових резервів [98]); </w:t>
      </w:r>
    </w:p>
    <w:p w:rsidR="00DF7409" w:rsidRDefault="00414BC1">
      <w:pPr>
        <w:numPr>
          <w:ilvl w:val="0"/>
          <w:numId w:val="1"/>
        </w:numPr>
        <w:ind w:right="65"/>
      </w:pPr>
      <w:r>
        <w:t>показники, що характеризують рівень виплат (показник об</w:t>
      </w:r>
      <w:r>
        <w:t xml:space="preserve">сягів страхування (андерайтингу) в [108], показник рівня виплат в [109], коефіцієнт збитковості в [98]); </w:t>
      </w:r>
    </w:p>
    <w:p w:rsidR="00DF7409" w:rsidRDefault="00414BC1">
      <w:pPr>
        <w:numPr>
          <w:ilvl w:val="0"/>
          <w:numId w:val="1"/>
        </w:numPr>
        <w:ind w:right="65"/>
      </w:pPr>
      <w:r>
        <w:t xml:space="preserve">показники, що характеризують рівень заборгованості страхувальників та рівень заборгованості страховика за страховими виплатами (показник дебіторської </w:t>
      </w:r>
      <w:r>
        <w:t xml:space="preserve">заборгованості в [108], коефіцієнт оборотності кредиторської заборгованості за страховими виплатами в [98]); </w:t>
      </w:r>
    </w:p>
    <w:p w:rsidR="00DF7409" w:rsidRDefault="00414BC1">
      <w:pPr>
        <w:numPr>
          <w:ilvl w:val="0"/>
          <w:numId w:val="1"/>
        </w:numPr>
        <w:ind w:right="65"/>
      </w:pPr>
      <w:r>
        <w:t>показники, що характеризують рівень незалежності від перестрахування (показник незалежності від перестрахування в [108], показник рівня перестраху</w:t>
      </w:r>
      <w:r>
        <w:t xml:space="preserve">вання в [109], коефіцієнт власного утримання в преміях в [98]); </w:t>
      </w:r>
    </w:p>
    <w:p w:rsidR="00DF7409" w:rsidRDefault="00414BC1">
      <w:pPr>
        <w:numPr>
          <w:ilvl w:val="0"/>
          <w:numId w:val="1"/>
        </w:numPr>
        <w:ind w:right="65"/>
      </w:pPr>
      <w:r>
        <w:t>показники, які на думку авторів, характеризують фінансову стійкість страховика, але включені різними авторами до групи показників, за якими оцінюється фінансова надійність (в силу ототожнення</w:t>
      </w:r>
      <w:r>
        <w:t xml:space="preserve"> ними цих категорій). </w:t>
      </w:r>
    </w:p>
    <w:p w:rsidR="00DF7409" w:rsidRDefault="00414BC1">
      <w:pPr>
        <w:ind w:left="14" w:right="65"/>
      </w:pPr>
      <w:r>
        <w:t xml:space="preserve">Нами пропонується виокремити з переліку показників (табл. 6.10) та у відповідності до груп, запропонованих вище, ті показники, що в більшому ступені характеризують фінансову надійність страховика.  </w:t>
      </w:r>
    </w:p>
    <w:p w:rsidR="00DF7409" w:rsidRDefault="00414BC1">
      <w:pPr>
        <w:ind w:left="14" w:right="65"/>
      </w:pPr>
      <w:r>
        <w:t>Основою для вибору авторами показн</w:t>
      </w:r>
      <w:r>
        <w:t xml:space="preserve">иків для оцінки рівня фінансової надійності страховика є критерій, що «фінансова надійність виявляється лише в момент урегулювання фінансових зобов'язань страховиком».  </w:t>
      </w:r>
    </w:p>
    <w:p w:rsidR="00DF7409" w:rsidRDefault="00414BC1">
      <w:pPr>
        <w:ind w:left="14" w:right="65"/>
      </w:pPr>
      <w:r>
        <w:t xml:space="preserve">Тому, на нашу думку, представлені в табл. 6.5 показники найбільш точно характеризують </w:t>
      </w:r>
      <w:r>
        <w:t xml:space="preserve">здатність страхової компанії виконати свої фінансові зобов’язання перед страхувальниками та іншими кредиторами.  </w:t>
      </w:r>
    </w:p>
    <w:p w:rsidR="00DF7409" w:rsidRDefault="00414BC1">
      <w:pPr>
        <w:spacing w:after="170" w:line="259" w:lineRule="auto"/>
        <w:ind w:right="0" w:firstLine="0"/>
        <w:jc w:val="right"/>
      </w:pPr>
      <w:r>
        <w:lastRenderedPageBreak/>
        <w:t xml:space="preserve"> </w:t>
      </w:r>
    </w:p>
    <w:p w:rsidR="00DF7409" w:rsidRDefault="00414BC1">
      <w:pPr>
        <w:spacing w:after="185" w:line="259" w:lineRule="auto"/>
        <w:ind w:left="10" w:right="73" w:hanging="10"/>
        <w:jc w:val="right"/>
      </w:pPr>
      <w:r>
        <w:t xml:space="preserve">Таблиця 6.5.  </w:t>
      </w:r>
    </w:p>
    <w:p w:rsidR="00DF7409" w:rsidRDefault="00414BC1">
      <w:pPr>
        <w:spacing w:line="259" w:lineRule="auto"/>
        <w:ind w:left="14" w:right="65" w:firstLine="0"/>
      </w:pPr>
      <w:r>
        <w:t xml:space="preserve">Показники оцінки фінансової надійності страховика (авторська систематизація) </w:t>
      </w:r>
    </w:p>
    <w:tbl>
      <w:tblPr>
        <w:tblStyle w:val="TableGrid"/>
        <w:tblW w:w="9858" w:type="dxa"/>
        <w:tblInd w:w="-110" w:type="dxa"/>
        <w:tblCellMar>
          <w:top w:w="7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449"/>
        <w:gridCol w:w="4235"/>
        <w:gridCol w:w="3174"/>
      </w:tblGrid>
      <w:tr w:rsidR="00DF7409">
        <w:trPr>
          <w:trHeight w:val="288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Показник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Формула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Характеристика </w:t>
            </w:r>
          </w:p>
        </w:tc>
      </w:tr>
      <w:tr w:rsidR="00DF7409">
        <w:trPr>
          <w:trHeight w:val="28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DF7409">
        <w:trPr>
          <w:trHeight w:val="288"/>
        </w:trPr>
        <w:tc>
          <w:tcPr>
            <w:tcW w:w="9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 xml:space="preserve">Показники, що характеризують здатність виконувати зобов’язання </w:t>
            </w:r>
          </w:p>
        </w:tc>
      </w:tr>
      <w:tr w:rsidR="00DF7409">
        <w:trPr>
          <w:trHeight w:val="31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163" w:right="86" w:hanging="134"/>
            </w:pPr>
            <w:r>
              <w:rPr>
                <w:sz w:val="24"/>
              </w:rPr>
              <w:t xml:space="preserve">Показник ліквідності активів (ПЛА)  або  показник поточної ліквідності (ППЛ)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142" w:right="0" w:firstLine="0"/>
              <w:jc w:val="center"/>
            </w:pPr>
            <w:r>
              <w:rPr>
                <w:i/>
              </w:rPr>
              <w:t>ВЛА</w:t>
            </w:r>
          </w:p>
          <w:p w:rsidR="00DF7409" w:rsidRDefault="00414BC1">
            <w:pPr>
              <w:spacing w:after="0" w:line="259" w:lineRule="auto"/>
              <w:ind w:right="36" w:firstLine="0"/>
              <w:jc w:val="center"/>
            </w:pPr>
            <w:r>
              <w:rPr>
                <w:i/>
              </w:rPr>
              <w:t>ПЛА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51200" cy="6334"/>
                      <wp:effectExtent l="0" t="0" r="0" b="0"/>
                      <wp:docPr id="49363" name="Group 49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1200" cy="6334"/>
                                <a:chOff x="0" y="0"/>
                                <a:chExt cx="351200" cy="6334"/>
                              </a:xfrm>
                            </wpg:grpSpPr>
                            <wps:wsp>
                              <wps:cNvPr id="5846" name="Shape 5846"/>
                              <wps:cNvSpPr/>
                              <wps:spPr>
                                <a:xfrm>
                                  <a:off x="0" y="0"/>
                                  <a:ext cx="35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200">
                                      <a:moveTo>
                                        <a:pt x="0" y="0"/>
                                      </a:moveTo>
                                      <a:lnTo>
                                        <a:pt x="351200" y="0"/>
                                      </a:lnTo>
                                    </a:path>
                                  </a:pathLst>
                                </a:custGeom>
                                <a:ln w="633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363" style="width:27.6535pt;height:3.05176e-05pt;mso-position-horizontal-relative:char;mso-position-vertical-relative:line" coordsize="3512,0">
                      <v:shape id="Shape 5846" style="position:absolute;width:3512;height:0;left:0;top:0;" coordsize="351200,0" path="m0,0l351200,0">
                        <v:stroke weight="0.498734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*100,</w:t>
            </w:r>
          </w:p>
          <w:p w:rsidR="00DF7409" w:rsidRDefault="00414BC1">
            <w:pPr>
              <w:tabs>
                <w:tab w:val="center" w:pos="2091"/>
                <w:tab w:val="center" w:pos="3083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З</w:t>
            </w:r>
            <w:r>
              <w:rPr>
                <w:i/>
              </w:rPr>
              <w:tab/>
            </w:r>
            <w:r>
              <w:rPr>
                <w:sz w:val="24"/>
              </w:rPr>
              <w:t xml:space="preserve"> </w:t>
            </w:r>
          </w:p>
          <w:p w:rsidR="00DF7409" w:rsidRDefault="00414BC1">
            <w:pPr>
              <w:spacing w:after="0" w:line="277" w:lineRule="auto"/>
              <w:ind w:right="57" w:firstLine="0"/>
            </w:pPr>
            <w:r>
              <w:rPr>
                <w:sz w:val="24"/>
              </w:rPr>
              <w:t xml:space="preserve">де ВЛА – високоліквідні активи; З – довгострокові та поточні зобов’язання підприємства; </w:t>
            </w:r>
          </w:p>
          <w:p w:rsidR="00DF7409" w:rsidRDefault="00414BC1">
            <w:pPr>
              <w:spacing w:after="28" w:line="259" w:lineRule="auto"/>
              <w:ind w:right="65" w:firstLine="0"/>
              <w:jc w:val="center"/>
            </w:pPr>
            <w:r>
              <w:rPr>
                <w:sz w:val="24"/>
              </w:rPr>
              <w:t>або</w:t>
            </w:r>
            <w:r>
              <w:rPr>
                <w:sz w:val="24"/>
              </w:rPr>
              <w:t xml:space="preserve"> </w:t>
            </w:r>
          </w:p>
          <w:p w:rsidR="00DF7409" w:rsidRDefault="00414BC1">
            <w:pPr>
              <w:spacing w:after="0" w:line="259" w:lineRule="auto"/>
              <w:ind w:left="172" w:right="0" w:firstLine="0"/>
              <w:jc w:val="center"/>
            </w:pPr>
            <w:r>
              <w:rPr>
                <w:i/>
              </w:rPr>
              <w:t>ОА</w:t>
            </w:r>
          </w:p>
          <w:p w:rsidR="00DF7409" w:rsidRDefault="00414BC1">
            <w:pPr>
              <w:spacing w:after="0" w:line="259" w:lineRule="auto"/>
              <w:ind w:right="57" w:firstLine="0"/>
              <w:jc w:val="center"/>
            </w:pPr>
            <w:r>
              <w:rPr>
                <w:i/>
              </w:rPr>
              <w:t>ППЛ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5450" cy="6334"/>
                      <wp:effectExtent l="0" t="0" r="0" b="0"/>
                      <wp:docPr id="49364" name="Group 49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450" cy="6334"/>
                                <a:chOff x="0" y="0"/>
                                <a:chExt cx="245450" cy="6334"/>
                              </a:xfrm>
                            </wpg:grpSpPr>
                            <wps:wsp>
                              <wps:cNvPr id="5883" name="Shape 5883"/>
                              <wps:cNvSpPr/>
                              <wps:spPr>
                                <a:xfrm>
                                  <a:off x="0" y="0"/>
                                  <a:ext cx="2454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5450">
                                      <a:moveTo>
                                        <a:pt x="0" y="0"/>
                                      </a:moveTo>
                                      <a:lnTo>
                                        <a:pt x="245450" y="0"/>
                                      </a:lnTo>
                                    </a:path>
                                  </a:pathLst>
                                </a:custGeom>
                                <a:ln w="633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364" style="width:19.3268pt;height:3.05176e-05pt;mso-position-horizontal-relative:char;mso-position-vertical-relative:line" coordsize="2454,0">
                      <v:shape id="Shape 5883" style="position:absolute;width:2454;height:0;left:0;top:0;" coordsize="245450,0" path="m0,0l245450,0">
                        <v:stroke weight="0.498734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*100,</w:t>
            </w:r>
          </w:p>
          <w:p w:rsidR="00DF7409" w:rsidRDefault="00414BC1">
            <w:pPr>
              <w:tabs>
                <w:tab w:val="center" w:pos="2126"/>
                <w:tab w:val="center" w:pos="3044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ПЗ</w:t>
            </w:r>
            <w:r>
              <w:rPr>
                <w:i/>
              </w:rPr>
              <w:tab/>
            </w:r>
            <w:r>
              <w:rPr>
                <w:sz w:val="24"/>
              </w:rPr>
              <w:t xml:space="preserve"> </w:t>
            </w:r>
          </w:p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де ОА – оборотні активи; ПЗ – поточні зобов’язання підприємства.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4" w:line="275" w:lineRule="auto"/>
              <w:ind w:left="519" w:right="0" w:hanging="241"/>
            </w:pPr>
            <w:r>
              <w:rPr>
                <w:sz w:val="24"/>
              </w:rPr>
              <w:t xml:space="preserve">Характеризує здатність страхової компанії </w:t>
            </w:r>
          </w:p>
          <w:p w:rsidR="00DF7409" w:rsidRDefault="00414BC1">
            <w:pPr>
              <w:spacing w:after="18" w:line="259" w:lineRule="auto"/>
              <w:ind w:right="51" w:firstLine="0"/>
              <w:jc w:val="center"/>
            </w:pPr>
            <w:r>
              <w:rPr>
                <w:sz w:val="24"/>
              </w:rPr>
              <w:t xml:space="preserve">виконувати свої </w:t>
            </w:r>
          </w:p>
          <w:p w:rsidR="00DF7409" w:rsidRDefault="00414BC1">
            <w:pPr>
              <w:spacing w:after="0" w:line="279" w:lineRule="auto"/>
              <w:ind w:right="0" w:firstLine="0"/>
              <w:jc w:val="center"/>
            </w:pPr>
            <w:r>
              <w:rPr>
                <w:sz w:val="24"/>
              </w:rPr>
              <w:t xml:space="preserve">зобов’язання за рахунок високоліквідних активів </w:t>
            </w:r>
          </w:p>
          <w:p w:rsidR="00DF7409" w:rsidRDefault="00414BC1">
            <w:pPr>
              <w:spacing w:after="0" w:line="259" w:lineRule="auto"/>
              <w:ind w:right="68" w:firstLine="0"/>
              <w:jc w:val="center"/>
            </w:pPr>
            <w:r>
              <w:rPr>
                <w:sz w:val="24"/>
              </w:rPr>
              <w:t xml:space="preserve">(або оборотних активів) </w:t>
            </w:r>
          </w:p>
        </w:tc>
      </w:tr>
      <w:tr w:rsidR="00DF7409">
        <w:trPr>
          <w:trHeight w:val="2799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76" w:lineRule="auto"/>
              <w:ind w:right="0" w:firstLine="0"/>
              <w:jc w:val="center"/>
            </w:pPr>
            <w:r>
              <w:rPr>
                <w:sz w:val="24"/>
              </w:rPr>
              <w:t xml:space="preserve">Зворотний показник </w:t>
            </w:r>
            <w:r>
              <w:rPr>
                <w:sz w:val="24"/>
              </w:rPr>
              <w:t xml:space="preserve">платоспроможності </w:t>
            </w:r>
          </w:p>
          <w:p w:rsidR="00DF7409" w:rsidRDefault="00414BC1">
            <w:pPr>
              <w:spacing w:after="15" w:line="267" w:lineRule="auto"/>
              <w:ind w:left="629" w:right="572" w:firstLine="0"/>
              <w:jc w:val="center"/>
            </w:pPr>
            <w:r>
              <w:rPr>
                <w:sz w:val="24"/>
              </w:rPr>
              <w:t xml:space="preserve">(ЗПП)  або  </w:t>
            </w:r>
          </w:p>
          <w:p w:rsidR="00DF7409" w:rsidRDefault="00414BC1">
            <w:pPr>
              <w:spacing w:after="0" w:line="259" w:lineRule="auto"/>
              <w:ind w:left="53" w:right="0" w:hanging="34"/>
            </w:pPr>
            <w:r>
              <w:rPr>
                <w:sz w:val="24"/>
              </w:rPr>
              <w:t>коефіцієнт боргового навантаження (КБН)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187" w:right="0" w:firstLine="0"/>
              <w:jc w:val="center"/>
            </w:pPr>
            <w:r>
              <w:rPr>
                <w:i/>
                <w:sz w:val="29"/>
              </w:rPr>
              <w:t>З</w:t>
            </w:r>
          </w:p>
          <w:p w:rsidR="00DF7409" w:rsidRDefault="00414BC1">
            <w:pPr>
              <w:spacing w:after="0" w:line="259" w:lineRule="auto"/>
              <w:ind w:right="67" w:firstLine="0"/>
              <w:jc w:val="center"/>
            </w:pPr>
            <w:r>
              <w:rPr>
                <w:i/>
                <w:sz w:val="29"/>
              </w:rPr>
              <w:t>ЗПП</w:t>
            </w:r>
            <w:r>
              <w:rPr>
                <w:rFonts w:ascii="Segoe UI Symbol" w:eastAsia="Segoe UI Symbol" w:hAnsi="Segoe UI Symbol" w:cs="Segoe UI Symbol"/>
                <w:sz w:val="29"/>
              </w:rPr>
              <w:t xml:space="preserve">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7614" cy="6340"/>
                      <wp:effectExtent l="0" t="0" r="0" b="0"/>
                      <wp:docPr id="49581" name="Group 49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614" cy="6340"/>
                                <a:chOff x="0" y="0"/>
                                <a:chExt cx="157614" cy="6340"/>
                              </a:xfrm>
                            </wpg:grpSpPr>
                            <wps:wsp>
                              <wps:cNvPr id="5973" name="Shape 5973"/>
                              <wps:cNvSpPr/>
                              <wps:spPr>
                                <a:xfrm>
                                  <a:off x="0" y="0"/>
                                  <a:ext cx="15761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614">
                                      <a:moveTo>
                                        <a:pt x="0" y="0"/>
                                      </a:moveTo>
                                      <a:lnTo>
                                        <a:pt x="157614" y="0"/>
                                      </a:lnTo>
                                    </a:path>
                                  </a:pathLst>
                                </a:custGeom>
                                <a:ln w="63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581" style="width:12.4105pt;height:0.499242pt;mso-position-horizontal-relative:char;mso-position-vertical-relative:line" coordsize="1576,63">
                      <v:shape id="Shape 5973" style="position:absolute;width:1576;height:0;left:0;top:0;" coordsize="157614,0" path="m0,0l157614,0">
                        <v:stroke weight="0.49924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9"/>
              </w:rPr>
              <w:t>*100</w:t>
            </w:r>
          </w:p>
          <w:p w:rsidR="00DF7409" w:rsidRDefault="00414BC1">
            <w:pPr>
              <w:tabs>
                <w:tab w:val="center" w:pos="2127"/>
                <w:tab w:val="center" w:pos="2895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sz w:val="29"/>
              </w:rPr>
              <w:t>К</w:t>
            </w:r>
            <w:r>
              <w:rPr>
                <w:i/>
                <w:sz w:val="29"/>
              </w:rPr>
              <w:tab/>
            </w:r>
            <w:r>
              <w:rPr>
                <w:sz w:val="24"/>
              </w:rPr>
              <w:t xml:space="preserve"> </w:t>
            </w:r>
          </w:p>
          <w:p w:rsidR="00DF7409" w:rsidRDefault="00414BC1">
            <w:pPr>
              <w:spacing w:after="33" w:line="263" w:lineRule="auto"/>
              <w:ind w:right="57" w:firstLine="0"/>
              <w:jc w:val="left"/>
            </w:pPr>
            <w:r>
              <w:rPr>
                <w:sz w:val="24"/>
              </w:rPr>
              <w:t>де З – довгострокові та поточні зобов’язання підприємства; К – сума капіталу підприємства або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DF7409" w:rsidRDefault="00414BC1">
            <w:pPr>
              <w:spacing w:after="0" w:line="259" w:lineRule="auto"/>
              <w:ind w:left="123" w:right="0" w:firstLine="0"/>
              <w:jc w:val="center"/>
            </w:pPr>
            <w:r>
              <w:rPr>
                <w:i/>
                <w:sz w:val="29"/>
              </w:rPr>
              <w:t>З</w:t>
            </w:r>
          </w:p>
          <w:p w:rsidR="00DF7409" w:rsidRDefault="00414BC1">
            <w:pPr>
              <w:spacing w:after="0" w:line="259" w:lineRule="auto"/>
              <w:ind w:right="55" w:firstLine="0"/>
              <w:jc w:val="center"/>
            </w:pPr>
            <w:r>
              <w:rPr>
                <w:i/>
                <w:sz w:val="29"/>
              </w:rPr>
              <w:t>КБН</w:t>
            </w:r>
            <w:r>
              <w:rPr>
                <w:rFonts w:ascii="Segoe UI Symbol" w:eastAsia="Segoe UI Symbol" w:hAnsi="Segoe UI Symbol" w:cs="Segoe UI Symbol"/>
                <w:sz w:val="29"/>
              </w:rPr>
              <w:t xml:space="preserve">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2592" cy="6340"/>
                      <wp:effectExtent l="0" t="0" r="0" b="0"/>
                      <wp:docPr id="49582" name="Group 495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592" cy="6340"/>
                                <a:chOff x="0" y="0"/>
                                <a:chExt cx="132592" cy="6340"/>
                              </a:xfrm>
                            </wpg:grpSpPr>
                            <wps:wsp>
                              <wps:cNvPr id="6013" name="Shape 6013"/>
                              <wps:cNvSpPr/>
                              <wps:spPr>
                                <a:xfrm>
                                  <a:off x="0" y="0"/>
                                  <a:ext cx="1325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592">
                                      <a:moveTo>
                                        <a:pt x="0" y="0"/>
                                      </a:moveTo>
                                      <a:lnTo>
                                        <a:pt x="132592" y="0"/>
                                      </a:lnTo>
                                    </a:path>
                                  </a:pathLst>
                                </a:custGeom>
                                <a:ln w="63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582" style="width:10.4403pt;height:0.499242pt;mso-position-horizontal-relative:char;mso-position-vertical-relative:line" coordsize="1325,63">
                      <v:shape id="Shape 6013" style="position:absolute;width:1325;height:0;left:0;top:0;" coordsize="132592,0" path="m0,0l132592,0">
                        <v:stroke weight="0.49924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9"/>
              </w:rPr>
              <w:t xml:space="preserve"> *100,</w:t>
            </w:r>
          </w:p>
          <w:p w:rsidR="00DF7409" w:rsidRDefault="00414BC1">
            <w:pPr>
              <w:tabs>
                <w:tab w:val="center" w:pos="2120"/>
                <w:tab w:val="center" w:pos="2929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sz w:val="29"/>
              </w:rPr>
              <w:t>А</w:t>
            </w:r>
            <w:r>
              <w:rPr>
                <w:i/>
                <w:sz w:val="29"/>
              </w:rPr>
              <w:tab/>
            </w:r>
            <w:r>
              <w:rPr>
                <w:sz w:val="24"/>
              </w:rPr>
              <w:t xml:space="preserve"> </w:t>
            </w:r>
          </w:p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де А – активи компанії.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62" w:right="126" w:firstLine="216"/>
            </w:pPr>
            <w:r>
              <w:rPr>
                <w:sz w:val="24"/>
              </w:rPr>
              <w:t xml:space="preserve">Характеризує здатність </w:t>
            </w:r>
            <w:r>
              <w:rPr>
                <w:sz w:val="24"/>
              </w:rPr>
              <w:t xml:space="preserve">страхової компанії покрити зобов’язання наявним капіталом (або активами) </w:t>
            </w:r>
          </w:p>
        </w:tc>
      </w:tr>
      <w:tr w:rsidR="00DF7409">
        <w:trPr>
          <w:trHeight w:val="562"/>
        </w:trPr>
        <w:tc>
          <w:tcPr>
            <w:tcW w:w="9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Показники, що характеризують достатність власних коштів для виконання страхових зобов’язань </w:t>
            </w:r>
          </w:p>
        </w:tc>
      </w:tr>
      <w:tr w:rsidR="00DF7409">
        <w:trPr>
          <w:trHeight w:val="281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4" w:line="275" w:lineRule="auto"/>
              <w:ind w:left="13" w:right="18" w:firstLine="0"/>
              <w:jc w:val="center"/>
            </w:pPr>
            <w:r>
              <w:rPr>
                <w:sz w:val="24"/>
              </w:rPr>
              <w:t xml:space="preserve">Показник відношення чистих </w:t>
            </w:r>
          </w:p>
          <w:p w:rsidR="00DF7409" w:rsidRDefault="00414BC1">
            <w:pPr>
              <w:spacing w:after="1" w:line="274" w:lineRule="auto"/>
              <w:ind w:left="10" w:right="24" w:firstLine="0"/>
              <w:jc w:val="center"/>
            </w:pPr>
            <w:r>
              <w:rPr>
                <w:sz w:val="24"/>
              </w:rPr>
              <w:t xml:space="preserve">страхових резервів та капіталу (ПВРК)  або </w:t>
            </w:r>
          </w:p>
          <w:p w:rsidR="00DF7409" w:rsidRDefault="00414BC1">
            <w:pPr>
              <w:spacing w:after="23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коефіцієнт </w:t>
            </w:r>
          </w:p>
          <w:p w:rsidR="00DF7409" w:rsidRDefault="00414BC1">
            <w:pPr>
              <w:spacing w:after="18" w:line="259" w:lineRule="auto"/>
              <w:ind w:right="53" w:firstLine="0"/>
              <w:jc w:val="center"/>
            </w:pPr>
            <w:r>
              <w:rPr>
                <w:sz w:val="24"/>
              </w:rPr>
              <w:t xml:space="preserve">достатності </w:t>
            </w:r>
          </w:p>
          <w:p w:rsidR="00DF7409" w:rsidRDefault="00414BC1">
            <w:pPr>
              <w:spacing w:after="0" w:line="259" w:lineRule="auto"/>
              <w:ind w:right="68" w:firstLine="0"/>
              <w:jc w:val="center"/>
            </w:pPr>
            <w:r>
              <w:rPr>
                <w:sz w:val="24"/>
              </w:rPr>
              <w:t xml:space="preserve">страхових резервів </w:t>
            </w:r>
          </w:p>
          <w:p w:rsidR="00DF7409" w:rsidRDefault="00414BC1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>КДСР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275" w:right="0" w:firstLine="0"/>
              <w:jc w:val="center"/>
            </w:pPr>
            <w:r>
              <w:rPr>
                <w:i/>
                <w:sz w:val="29"/>
              </w:rPr>
              <w:t>ЧСР</w:t>
            </w:r>
          </w:p>
          <w:p w:rsidR="00DF7409" w:rsidRDefault="00414BC1">
            <w:pPr>
              <w:tabs>
                <w:tab w:val="center" w:pos="1355"/>
                <w:tab w:val="center" w:pos="2529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sz w:val="29"/>
              </w:rPr>
              <w:t>ПВРК</w:t>
            </w:r>
            <w:r>
              <w:rPr>
                <w:rFonts w:ascii="Segoe UI Symbol" w:eastAsia="Segoe UI Symbol" w:hAnsi="Segoe UI Symbol" w:cs="Segoe UI Symbol"/>
                <w:sz w:val="29"/>
              </w:rPr>
              <w:t></w:t>
            </w:r>
            <w:r>
              <w:rPr>
                <w:rFonts w:ascii="Segoe UI Symbol" w:eastAsia="Segoe UI Symbol" w:hAnsi="Segoe UI Symbol" w:cs="Segoe UI Symbol"/>
                <w:sz w:val="29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53024" cy="6340"/>
                      <wp:effectExtent l="0" t="0" r="0" b="0"/>
                      <wp:docPr id="49732" name="Group 49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024" cy="6340"/>
                                <a:chOff x="0" y="0"/>
                                <a:chExt cx="353024" cy="6340"/>
                              </a:xfrm>
                            </wpg:grpSpPr>
                            <wps:wsp>
                              <wps:cNvPr id="6123" name="Shape 6123"/>
                              <wps:cNvSpPr/>
                              <wps:spPr>
                                <a:xfrm>
                                  <a:off x="0" y="0"/>
                                  <a:ext cx="35302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3024">
                                      <a:moveTo>
                                        <a:pt x="0" y="0"/>
                                      </a:moveTo>
                                      <a:lnTo>
                                        <a:pt x="353024" y="0"/>
                                      </a:lnTo>
                                    </a:path>
                                  </a:pathLst>
                                </a:custGeom>
                                <a:ln w="63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732" style="width:27.7972pt;height:0.499242pt;mso-position-horizontal-relative:char;mso-position-vertical-relative:line" coordsize="3530,63">
                      <v:shape id="Shape 6123" style="position:absolute;width:3530;height:0;left:0;top:0;" coordsize="353024,0" path="m0,0l353024,0">
                        <v:stroke weight="0.49924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9"/>
              </w:rPr>
              <w:t xml:space="preserve"> *100,</w:t>
            </w:r>
          </w:p>
          <w:p w:rsidR="00DF7409" w:rsidRDefault="00414BC1">
            <w:pPr>
              <w:tabs>
                <w:tab w:val="center" w:pos="2177"/>
                <w:tab w:val="center" w:pos="3203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sz w:val="29"/>
              </w:rPr>
              <w:t>К</w:t>
            </w:r>
            <w:r>
              <w:rPr>
                <w:i/>
                <w:sz w:val="29"/>
              </w:rPr>
              <w:tab/>
            </w:r>
            <w:r>
              <w:rPr>
                <w:sz w:val="18"/>
              </w:rPr>
              <w:t xml:space="preserve"> </w:t>
            </w:r>
          </w:p>
          <w:p w:rsidR="00DF7409" w:rsidRDefault="00414BC1">
            <w:pPr>
              <w:spacing w:after="34" w:line="257" w:lineRule="auto"/>
              <w:ind w:right="517" w:firstLine="0"/>
              <w:jc w:val="left"/>
            </w:pPr>
            <w:r>
              <w:rPr>
                <w:sz w:val="24"/>
              </w:rPr>
              <w:t>де ЧСР – чисті страхові резерви; К – сума капіталу підприємства; або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DF7409" w:rsidRDefault="00414BC1">
            <w:pPr>
              <w:spacing w:after="0" w:line="259" w:lineRule="auto"/>
              <w:ind w:left="267" w:right="0" w:firstLine="0"/>
              <w:jc w:val="center"/>
            </w:pPr>
            <w:r>
              <w:rPr>
                <w:i/>
              </w:rPr>
              <w:t>СР</w:t>
            </w:r>
          </w:p>
          <w:p w:rsidR="00DF7409" w:rsidRDefault="00414BC1">
            <w:pPr>
              <w:tabs>
                <w:tab w:val="center" w:pos="1338"/>
                <w:tab w:val="center" w:pos="2516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КДСР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81197" cy="6334"/>
                      <wp:effectExtent l="0" t="0" r="0" b="0"/>
                      <wp:docPr id="49733" name="Group 49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197" cy="6334"/>
                                <a:chOff x="0" y="0"/>
                                <a:chExt cx="381197" cy="6334"/>
                              </a:xfrm>
                            </wpg:grpSpPr>
                            <wps:wsp>
                              <wps:cNvPr id="6158" name="Shape 6158"/>
                              <wps:cNvSpPr/>
                              <wps:spPr>
                                <a:xfrm>
                                  <a:off x="0" y="0"/>
                                  <a:ext cx="3811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197">
                                      <a:moveTo>
                                        <a:pt x="0" y="0"/>
                                      </a:moveTo>
                                      <a:lnTo>
                                        <a:pt x="381197" y="0"/>
                                      </a:lnTo>
                                    </a:path>
                                  </a:pathLst>
                                </a:custGeom>
                                <a:ln w="633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733" style="width:30.0155pt;height:0.498734pt;mso-position-horizontal-relative:char;mso-position-vertical-relative:line" coordsize="3811,63">
                      <v:shape id="Shape 6158" style="position:absolute;width:3811;height:0;left:0;top:0;" coordsize="381197,0" path="m0,0l381197,0">
                        <v:stroke weight="0.498734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*100,</w:t>
            </w:r>
          </w:p>
          <w:p w:rsidR="00DF7409" w:rsidRDefault="00414BC1">
            <w:pPr>
              <w:tabs>
                <w:tab w:val="center" w:pos="2158"/>
                <w:tab w:val="center" w:pos="3193"/>
              </w:tabs>
              <w:spacing w:after="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ЧСП</w:t>
            </w:r>
            <w:r>
              <w:rPr>
                <w:i/>
              </w:rPr>
              <w:tab/>
            </w:r>
            <w:r>
              <w:rPr>
                <w:sz w:val="24"/>
              </w:rPr>
              <w:t xml:space="preserve"> </w:t>
            </w:r>
          </w:p>
          <w:p w:rsidR="00DF7409" w:rsidRDefault="00414BC1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>де СР – страхові резерви компанії; ЧСП – чисті страхові премій.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Характеризує достатність власних </w:t>
            </w:r>
            <w:r>
              <w:rPr>
                <w:sz w:val="24"/>
              </w:rPr>
              <w:t xml:space="preserve">засобів страхової компанії для виконання її страхових зобов’язань </w:t>
            </w:r>
          </w:p>
        </w:tc>
      </w:tr>
      <w:tr w:rsidR="00DF7409">
        <w:trPr>
          <w:trHeight w:val="139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75" w:right="0" w:hanging="75"/>
              <w:jc w:val="center"/>
            </w:pPr>
            <w:r>
              <w:rPr>
                <w:sz w:val="24"/>
              </w:rPr>
              <w:lastRenderedPageBreak/>
              <w:t xml:space="preserve">Показник покриття зобов’язань за страховими виплатами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151" w:right="0" w:firstLine="0"/>
              <w:jc w:val="center"/>
            </w:pPr>
            <w:r>
              <w:rPr>
                <w:i/>
              </w:rPr>
              <w:t>СР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>К</w:t>
            </w:r>
          </w:p>
          <w:p w:rsidR="00DF7409" w:rsidRDefault="00414BC1">
            <w:pPr>
              <w:tabs>
                <w:tab w:val="center" w:pos="1260"/>
                <w:tab w:val="center" w:pos="2423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ППЗ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38733" cy="6334"/>
                      <wp:effectExtent l="0" t="0" r="0" b="0"/>
                      <wp:docPr id="49843" name="Group 49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8733" cy="6334"/>
                                <a:chOff x="0" y="0"/>
                                <a:chExt cx="538733" cy="6334"/>
                              </a:xfrm>
                            </wpg:grpSpPr>
                            <wps:wsp>
                              <wps:cNvPr id="6237" name="Shape 6237"/>
                              <wps:cNvSpPr/>
                              <wps:spPr>
                                <a:xfrm>
                                  <a:off x="0" y="0"/>
                                  <a:ext cx="53873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733">
                                      <a:moveTo>
                                        <a:pt x="0" y="0"/>
                                      </a:moveTo>
                                      <a:lnTo>
                                        <a:pt x="538733" y="0"/>
                                      </a:lnTo>
                                    </a:path>
                                  </a:pathLst>
                                </a:custGeom>
                                <a:ln w="633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843" style="width:42.4199pt;height:0.498734pt;mso-position-horizontal-relative:char;mso-position-vertical-relative:line" coordsize="5387,63">
                      <v:shape id="Shape 6237" style="position:absolute;width:5387;height:0;left:0;top:0;" coordsize="538733,0" path="m0,0l538733,0">
                        <v:stroke weight="0.498734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>*100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DF7409" w:rsidRDefault="00414BC1">
            <w:pPr>
              <w:spacing w:after="0" w:line="259" w:lineRule="auto"/>
              <w:ind w:left="182" w:right="0" w:firstLine="0"/>
              <w:jc w:val="center"/>
            </w:pPr>
            <w:r>
              <w:rPr>
                <w:i/>
              </w:rPr>
              <w:t>СВ</w:t>
            </w:r>
          </w:p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де СР – страхові резерви; СВ – страхові виплати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6" w:line="274" w:lineRule="auto"/>
              <w:ind w:right="0" w:firstLine="0"/>
              <w:jc w:val="center"/>
            </w:pPr>
            <w:r>
              <w:rPr>
                <w:sz w:val="24"/>
              </w:rPr>
              <w:t xml:space="preserve">Характеризує достатність страхових резервів та </w:t>
            </w:r>
          </w:p>
          <w:p w:rsidR="00DF7409" w:rsidRDefault="00414BC1">
            <w:pPr>
              <w:spacing w:after="17" w:line="259" w:lineRule="auto"/>
              <w:ind w:left="53" w:right="0" w:firstLine="0"/>
              <w:jc w:val="left"/>
            </w:pPr>
            <w:r>
              <w:rPr>
                <w:sz w:val="24"/>
              </w:rPr>
              <w:t xml:space="preserve">капіталу </w:t>
            </w:r>
            <w:r>
              <w:rPr>
                <w:sz w:val="24"/>
              </w:rPr>
              <w:t xml:space="preserve">страхової компанії </w:t>
            </w:r>
          </w:p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для покриття зобов’язань за страховими виплатами </w:t>
            </w:r>
          </w:p>
        </w:tc>
      </w:tr>
    </w:tbl>
    <w:p w:rsidR="00DF7409" w:rsidRDefault="00414BC1">
      <w:pPr>
        <w:spacing w:after="0" w:line="259" w:lineRule="auto"/>
        <w:ind w:left="4197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858" w:type="dxa"/>
        <w:tblInd w:w="-110" w:type="dxa"/>
        <w:tblCellMar>
          <w:top w:w="7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449"/>
        <w:gridCol w:w="4235"/>
        <w:gridCol w:w="3174"/>
      </w:tblGrid>
      <w:tr w:rsidR="00DF7409">
        <w:trPr>
          <w:trHeight w:val="288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Показник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Формула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Характеристика </w:t>
            </w:r>
          </w:p>
        </w:tc>
      </w:tr>
      <w:tr w:rsidR="00DF7409">
        <w:trPr>
          <w:trHeight w:val="28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DF7409">
        <w:trPr>
          <w:trHeight w:val="288"/>
        </w:trPr>
        <w:tc>
          <w:tcPr>
            <w:tcW w:w="9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Показники, що характеризують рівень виплат </w:t>
            </w:r>
          </w:p>
        </w:tc>
      </w:tr>
      <w:tr w:rsidR="00DF7409">
        <w:trPr>
          <w:trHeight w:val="2588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80" w:lineRule="auto"/>
              <w:ind w:right="0" w:firstLine="0"/>
              <w:jc w:val="center"/>
            </w:pPr>
            <w:r>
              <w:rPr>
                <w:sz w:val="24"/>
              </w:rPr>
              <w:t xml:space="preserve">Показник обсягів страхування </w:t>
            </w:r>
          </w:p>
          <w:p w:rsidR="00DF7409" w:rsidRDefault="00414BC1">
            <w:pPr>
              <w:spacing w:after="0" w:line="259" w:lineRule="auto"/>
              <w:ind w:right="74" w:firstLine="0"/>
              <w:jc w:val="center"/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андеррайтингу</w:t>
            </w:r>
            <w:proofErr w:type="spellEnd"/>
            <w:r>
              <w:rPr>
                <w:sz w:val="24"/>
              </w:rPr>
              <w:t xml:space="preserve">)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90" w:firstLine="0"/>
              <w:jc w:val="center"/>
            </w:pPr>
            <w:r>
              <w:rPr>
                <w:i/>
              </w:rPr>
              <w:t>СВ</w:t>
            </w:r>
          </w:p>
          <w:p w:rsidR="00DF7409" w:rsidRDefault="00414BC1">
            <w:pPr>
              <w:spacing w:after="0" w:line="259" w:lineRule="auto"/>
              <w:ind w:right="41" w:firstLine="0"/>
              <w:jc w:val="center"/>
            </w:pPr>
            <w:r>
              <w:rPr>
                <w:i/>
              </w:rPr>
              <w:t>ПА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73269" cy="6334"/>
                      <wp:effectExtent l="0" t="0" r="0" b="0"/>
                      <wp:docPr id="48858" name="Group 48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269" cy="6334"/>
                                <a:chOff x="0" y="0"/>
                                <a:chExt cx="473269" cy="6334"/>
                              </a:xfrm>
                            </wpg:grpSpPr>
                            <wps:wsp>
                              <wps:cNvPr id="6406" name="Shape 6406"/>
                              <wps:cNvSpPr/>
                              <wps:spPr>
                                <a:xfrm>
                                  <a:off x="0" y="0"/>
                                  <a:ext cx="47326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269">
                                      <a:moveTo>
                                        <a:pt x="0" y="0"/>
                                      </a:moveTo>
                                      <a:lnTo>
                                        <a:pt x="473269" y="0"/>
                                      </a:lnTo>
                                    </a:path>
                                  </a:pathLst>
                                </a:custGeom>
                                <a:ln w="633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858" style="width:37.2653pt;height:2.28882e-05pt;mso-position-horizontal-relative:char;mso-position-vertical-relative:line" coordsize="4732,0">
                      <v:shape id="Shape 6406" style="position:absolute;width:4732;height:0;left:0;top:0;" coordsize="473269,0" path="m0,0l473269,0">
                        <v:stroke weight="0.498734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*100,</w:t>
            </w:r>
          </w:p>
          <w:p w:rsidR="00DF7409" w:rsidRDefault="00414BC1">
            <w:pPr>
              <w:tabs>
                <w:tab w:val="center" w:pos="1976"/>
                <w:tab w:val="center" w:pos="3087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ЧЗСП</w:t>
            </w:r>
            <w:r>
              <w:rPr>
                <w:i/>
              </w:rPr>
              <w:tab/>
            </w:r>
            <w:r>
              <w:rPr>
                <w:sz w:val="24"/>
              </w:rPr>
              <w:t xml:space="preserve"> </w:t>
            </w:r>
          </w:p>
          <w:p w:rsidR="00DF7409" w:rsidRDefault="00414BC1">
            <w:pPr>
              <w:spacing w:after="0" w:line="278" w:lineRule="auto"/>
              <w:ind w:right="0" w:firstLine="0"/>
            </w:pPr>
            <w:r>
              <w:rPr>
                <w:sz w:val="24"/>
              </w:rPr>
              <w:t xml:space="preserve">де СВ – страхові </w:t>
            </w:r>
            <w:r>
              <w:rPr>
                <w:sz w:val="24"/>
              </w:rPr>
              <w:t xml:space="preserve">виплати; ЧЗСП – чисті зароблені страхові премії. </w:t>
            </w:r>
          </w:p>
          <w:p w:rsidR="00DF7409" w:rsidRDefault="00414BC1">
            <w:pPr>
              <w:spacing w:after="43" w:line="259" w:lineRule="auto"/>
              <w:ind w:right="60" w:firstLine="0"/>
              <w:jc w:val="center"/>
            </w:pPr>
            <w:r>
              <w:rPr>
                <w:sz w:val="22"/>
              </w:rPr>
              <w:t xml:space="preserve">або </w:t>
            </w:r>
          </w:p>
          <w:p w:rsidR="00DF7409" w:rsidRDefault="00414BC1">
            <w:pPr>
              <w:spacing w:after="0" w:line="259" w:lineRule="auto"/>
              <w:ind w:right="105" w:firstLine="0"/>
              <w:jc w:val="center"/>
            </w:pPr>
            <w:r>
              <w:rPr>
                <w:i/>
              </w:rPr>
              <w:t>СВ</w:t>
            </w:r>
          </w:p>
          <w:p w:rsidR="00DF7409" w:rsidRDefault="00414BC1">
            <w:pPr>
              <w:spacing w:after="0" w:line="259" w:lineRule="auto"/>
              <w:ind w:right="57" w:firstLine="0"/>
              <w:jc w:val="center"/>
            </w:pPr>
            <w:r>
              <w:rPr>
                <w:i/>
              </w:rPr>
              <w:t>ПА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3409" cy="6334"/>
                      <wp:effectExtent l="0" t="0" r="0" b="0"/>
                      <wp:docPr id="48859" name="Group 48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409" cy="6334"/>
                                <a:chOff x="0" y="0"/>
                                <a:chExt cx="273409" cy="6334"/>
                              </a:xfrm>
                            </wpg:grpSpPr>
                            <wps:wsp>
                              <wps:cNvPr id="6443" name="Shape 6443"/>
                              <wps:cNvSpPr/>
                              <wps:spPr>
                                <a:xfrm>
                                  <a:off x="0" y="0"/>
                                  <a:ext cx="27340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9">
                                      <a:moveTo>
                                        <a:pt x="0" y="0"/>
                                      </a:moveTo>
                                      <a:lnTo>
                                        <a:pt x="273409" y="0"/>
                                      </a:lnTo>
                                    </a:path>
                                  </a:pathLst>
                                </a:custGeom>
                                <a:ln w="633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859" style="width:21.5282pt;height:1.52588e-05pt;mso-position-horizontal-relative:char;mso-position-vertical-relative:line" coordsize="2734,0">
                      <v:shape id="Shape 6443" style="position:absolute;width:2734;height:0;left:0;top:0;" coordsize="273409,0" path="m0,0l273409,0">
                        <v:stroke weight="0.498734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*100,</w:t>
            </w:r>
          </w:p>
          <w:p w:rsidR="00DF7409" w:rsidRDefault="00414BC1">
            <w:pPr>
              <w:tabs>
                <w:tab w:val="center" w:pos="1978"/>
                <w:tab w:val="center" w:pos="2939"/>
              </w:tabs>
              <w:spacing w:after="39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СП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де СП – страхові премії.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78" w:lineRule="auto"/>
              <w:ind w:right="0" w:firstLine="0"/>
              <w:jc w:val="center"/>
            </w:pPr>
            <w:r>
              <w:rPr>
                <w:sz w:val="24"/>
              </w:rPr>
              <w:t xml:space="preserve">Характеризує активність компанії щодо виплат за </w:t>
            </w:r>
          </w:p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договорами страхування та перестрахування </w:t>
            </w:r>
          </w:p>
        </w:tc>
      </w:tr>
      <w:tr w:rsidR="00DF7409">
        <w:trPr>
          <w:trHeight w:val="562"/>
        </w:trPr>
        <w:tc>
          <w:tcPr>
            <w:tcW w:w="9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Показники, що характеризують рівень заборгованості </w:t>
            </w:r>
            <w:r>
              <w:rPr>
                <w:sz w:val="24"/>
              </w:rPr>
              <w:t xml:space="preserve">страхувальників та рівень заборгованості страховика за страховими виплатами </w:t>
            </w:r>
          </w:p>
        </w:tc>
      </w:tr>
      <w:tr w:rsidR="00DF7409">
        <w:trPr>
          <w:trHeight w:val="239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23" w:line="259" w:lineRule="auto"/>
              <w:ind w:right="63" w:firstLine="0"/>
              <w:jc w:val="center"/>
            </w:pPr>
            <w:r>
              <w:rPr>
                <w:sz w:val="24"/>
              </w:rPr>
              <w:t xml:space="preserve">Коефіцієнт </w:t>
            </w:r>
          </w:p>
          <w:p w:rsidR="00DF7409" w:rsidRDefault="00414BC1">
            <w:pPr>
              <w:spacing w:after="19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оборотності </w:t>
            </w:r>
          </w:p>
          <w:p w:rsidR="00DF7409" w:rsidRDefault="00414BC1">
            <w:pPr>
              <w:spacing w:after="22" w:line="259" w:lineRule="auto"/>
              <w:ind w:right="53" w:firstLine="0"/>
              <w:jc w:val="center"/>
            </w:pPr>
            <w:r>
              <w:rPr>
                <w:sz w:val="24"/>
              </w:rPr>
              <w:t xml:space="preserve">кредиторської </w:t>
            </w:r>
          </w:p>
          <w:p w:rsidR="00DF7409" w:rsidRDefault="00414BC1">
            <w:pPr>
              <w:spacing w:after="0" w:line="277" w:lineRule="auto"/>
              <w:ind w:left="27" w:right="0" w:hanging="27"/>
              <w:jc w:val="center"/>
            </w:pPr>
            <w:r>
              <w:rPr>
                <w:sz w:val="24"/>
              </w:rPr>
              <w:t xml:space="preserve">заборгованості за страховими виплатами </w:t>
            </w:r>
          </w:p>
          <w:p w:rsidR="00DF7409" w:rsidRDefault="00414BC1">
            <w:pPr>
              <w:spacing w:after="0" w:line="259" w:lineRule="auto"/>
              <w:ind w:right="68" w:firstLine="0"/>
              <w:jc w:val="center"/>
            </w:pPr>
            <w:r>
              <w:rPr>
                <w:sz w:val="24"/>
              </w:rPr>
              <w:t xml:space="preserve">(ОКЗСВ)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436" w:right="0" w:firstLine="0"/>
              <w:jc w:val="center"/>
            </w:pPr>
            <w:r>
              <w:rPr>
                <w:i/>
              </w:rPr>
              <w:t>КЗСП</w:t>
            </w:r>
          </w:p>
          <w:p w:rsidR="00DF7409" w:rsidRDefault="00414BC1">
            <w:pPr>
              <w:spacing w:after="0" w:line="259" w:lineRule="auto"/>
              <w:ind w:right="73" w:firstLine="0"/>
              <w:jc w:val="center"/>
            </w:pPr>
            <w:r>
              <w:rPr>
                <w:i/>
              </w:rPr>
              <w:t>ОКЗСВ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83357" cy="6334"/>
                      <wp:effectExtent l="0" t="0" r="0" b="0"/>
                      <wp:docPr id="49116" name="Group 49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3357" cy="6334"/>
                                <a:chOff x="0" y="0"/>
                                <a:chExt cx="483357" cy="6334"/>
                              </a:xfrm>
                            </wpg:grpSpPr>
                            <wps:wsp>
                              <wps:cNvPr id="6545" name="Shape 6545"/>
                              <wps:cNvSpPr/>
                              <wps:spPr>
                                <a:xfrm>
                                  <a:off x="0" y="0"/>
                                  <a:ext cx="48335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3357">
                                      <a:moveTo>
                                        <a:pt x="0" y="0"/>
                                      </a:moveTo>
                                      <a:lnTo>
                                        <a:pt x="483357" y="0"/>
                                      </a:lnTo>
                                    </a:path>
                                  </a:pathLst>
                                </a:custGeom>
                                <a:ln w="633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116" style="width:38.0596pt;height:3.05176e-05pt;mso-position-horizontal-relative:char;mso-position-vertical-relative:line" coordsize="4833,0">
                      <v:shape id="Shape 6545" style="position:absolute;width:4833;height:0;left:0;top:0;" coordsize="483357,0" path="m0,0l483357,0">
                        <v:stroke weight="0.498734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>*100,</w:t>
            </w:r>
          </w:p>
          <w:p w:rsidR="00DF7409" w:rsidRDefault="00414BC1">
            <w:pPr>
              <w:tabs>
                <w:tab w:val="center" w:pos="2238"/>
                <w:tab w:val="center" w:pos="3328"/>
              </w:tabs>
              <w:spacing w:after="61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ЧЗСП</w:t>
            </w:r>
            <w:r>
              <w:rPr>
                <w:i/>
              </w:rPr>
              <w:tab/>
            </w:r>
            <w:r>
              <w:rPr>
                <w:sz w:val="24"/>
              </w:rPr>
              <w:t xml:space="preserve"> </w:t>
            </w:r>
          </w:p>
          <w:p w:rsidR="00DF7409" w:rsidRDefault="00414BC1">
            <w:pPr>
              <w:spacing w:after="5" w:line="324" w:lineRule="auto"/>
              <w:ind w:right="64" w:firstLine="0"/>
            </w:pPr>
            <w:r>
              <w:rPr>
                <w:sz w:val="24"/>
              </w:rPr>
              <w:t xml:space="preserve">де ОКЗСВ – оборотність кредиторської заборгованості за </w:t>
            </w:r>
            <w:r>
              <w:rPr>
                <w:sz w:val="24"/>
              </w:rPr>
              <w:t xml:space="preserve">страховими виплатами;  </w:t>
            </w:r>
          </w:p>
          <w:p w:rsidR="00DF7409" w:rsidRDefault="00414BC1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КЗСП – кредиторська заборгованість за страховими виплатами.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3" w:line="276" w:lineRule="auto"/>
              <w:ind w:left="264" w:right="316" w:firstLine="202"/>
            </w:pPr>
            <w:r>
              <w:rPr>
                <w:sz w:val="24"/>
              </w:rPr>
              <w:t xml:space="preserve">Характеризує обсяг частково або в повному обсязі невиконаних </w:t>
            </w:r>
          </w:p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зобов’язань страховика перед страхувальниками </w:t>
            </w:r>
          </w:p>
        </w:tc>
      </w:tr>
      <w:tr w:rsidR="00DF7409">
        <w:trPr>
          <w:trHeight w:val="154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79" w:lineRule="auto"/>
              <w:ind w:left="168" w:right="0" w:hanging="106"/>
            </w:pPr>
            <w:r>
              <w:rPr>
                <w:sz w:val="24"/>
              </w:rPr>
              <w:t xml:space="preserve">Показник дебіторської заборгованості </w:t>
            </w:r>
          </w:p>
          <w:p w:rsidR="00DF7409" w:rsidRDefault="00414BC1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(ПДЗ)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108" w:right="0" w:firstLine="0"/>
              <w:jc w:val="center"/>
            </w:pPr>
            <w:r>
              <w:rPr>
                <w:i/>
              </w:rPr>
              <w:t>ДЗ</w:t>
            </w:r>
          </w:p>
          <w:p w:rsidR="00DF7409" w:rsidRDefault="00414BC1">
            <w:pPr>
              <w:tabs>
                <w:tab w:val="center" w:pos="1443"/>
                <w:tab w:val="center" w:pos="2425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ПДЗ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8600" cy="6331"/>
                      <wp:effectExtent l="0" t="0" r="0" b="0"/>
                      <wp:docPr id="49324" name="Group 49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600" cy="6331"/>
                                <a:chOff x="0" y="0"/>
                                <a:chExt cx="248600" cy="6331"/>
                              </a:xfrm>
                            </wpg:grpSpPr>
                            <wps:wsp>
                              <wps:cNvPr id="6633" name="Shape 6633"/>
                              <wps:cNvSpPr/>
                              <wps:spPr>
                                <a:xfrm>
                                  <a:off x="0" y="0"/>
                                  <a:ext cx="248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8600">
                                      <a:moveTo>
                                        <a:pt x="0" y="0"/>
                                      </a:moveTo>
                                      <a:lnTo>
                                        <a:pt x="248600" y="0"/>
                                      </a:lnTo>
                                    </a:path>
                                  </a:pathLst>
                                </a:custGeom>
                                <a:ln w="633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324" style="width:19.5748pt;height:0.498529pt;mso-position-horizontal-relative:char;mso-position-vertical-relative:line" coordsize="2486,63">
                      <v:shape id="Shape 6633" style="position:absolute;width:2486;height:0;left:0;top:0;" coordsize="248600,0" path="m0,0l248600,0">
                        <v:stroke weight="0.498529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*100,</w:t>
            </w:r>
            <w:r>
              <w:rPr>
                <w:sz w:val="24"/>
              </w:rPr>
              <w:t xml:space="preserve"> </w:t>
            </w:r>
          </w:p>
          <w:p w:rsidR="00DF7409" w:rsidRDefault="00414BC1">
            <w:pPr>
              <w:spacing w:after="0" w:line="259" w:lineRule="auto"/>
              <w:ind w:left="64" w:right="0" w:firstLine="0"/>
              <w:jc w:val="center"/>
            </w:pPr>
            <w:r>
              <w:rPr>
                <w:i/>
              </w:rPr>
              <w:t>К</w:t>
            </w:r>
          </w:p>
          <w:p w:rsidR="00DF7409" w:rsidRDefault="00414BC1">
            <w:pPr>
              <w:tabs>
                <w:tab w:val="center" w:pos="775"/>
                <w:tab w:val="center" w:pos="1385"/>
                <w:tab w:val="center" w:pos="2091"/>
                <w:tab w:val="right" w:pos="4079"/>
              </w:tabs>
              <w:spacing w:after="25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де </w:t>
            </w:r>
            <w:r>
              <w:rPr>
                <w:sz w:val="24"/>
              </w:rPr>
              <w:tab/>
              <w:t xml:space="preserve">ДЗ </w:t>
            </w:r>
            <w:r>
              <w:rPr>
                <w:sz w:val="24"/>
              </w:rPr>
              <w:tab/>
              <w:t xml:space="preserve">– </w:t>
            </w:r>
            <w:r>
              <w:rPr>
                <w:sz w:val="24"/>
              </w:rPr>
              <w:tab/>
              <w:t xml:space="preserve">сума </w:t>
            </w:r>
            <w:r>
              <w:rPr>
                <w:sz w:val="24"/>
              </w:rPr>
              <w:tab/>
              <w:t xml:space="preserve">дебіторської </w:t>
            </w:r>
          </w:p>
          <w:p w:rsidR="00DF7409" w:rsidRDefault="00414BC1">
            <w:pPr>
              <w:spacing w:after="22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заборгованості; </w:t>
            </w:r>
          </w:p>
          <w:p w:rsidR="00DF7409" w:rsidRDefault="00414BC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К – сума капіталу підприємства.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5" w:line="273" w:lineRule="auto"/>
              <w:ind w:left="13" w:right="18" w:firstLine="0"/>
              <w:jc w:val="center"/>
            </w:pPr>
            <w:r>
              <w:rPr>
                <w:sz w:val="24"/>
              </w:rPr>
              <w:t xml:space="preserve">Характеризує обсяг частково або в повному </w:t>
            </w:r>
          </w:p>
          <w:p w:rsidR="00DF7409" w:rsidRDefault="00414BC1">
            <w:pPr>
              <w:spacing w:after="19" w:line="259" w:lineRule="auto"/>
              <w:ind w:right="57" w:firstLine="0"/>
              <w:jc w:val="center"/>
            </w:pPr>
            <w:r>
              <w:rPr>
                <w:sz w:val="24"/>
              </w:rPr>
              <w:t xml:space="preserve">обсязі не виконаних </w:t>
            </w:r>
          </w:p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зобов’язань страхувальників перед страховою компанією </w:t>
            </w:r>
          </w:p>
        </w:tc>
      </w:tr>
      <w:tr w:rsidR="00DF7409">
        <w:trPr>
          <w:trHeight w:val="288"/>
        </w:trPr>
        <w:tc>
          <w:tcPr>
            <w:tcW w:w="9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Показники, що характеризують рівень незалежності </w:t>
            </w:r>
            <w:r>
              <w:rPr>
                <w:sz w:val="24"/>
              </w:rPr>
              <w:t xml:space="preserve">від перестрахування </w:t>
            </w:r>
          </w:p>
        </w:tc>
      </w:tr>
      <w:tr w:rsidR="00DF7409">
        <w:trPr>
          <w:trHeight w:val="1296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77" w:lineRule="auto"/>
              <w:ind w:right="0" w:firstLine="32"/>
              <w:jc w:val="center"/>
            </w:pPr>
            <w:r>
              <w:rPr>
                <w:sz w:val="24"/>
              </w:rPr>
              <w:t xml:space="preserve">Показник незалежності від перестрахування </w:t>
            </w:r>
          </w:p>
          <w:p w:rsidR="00DF7409" w:rsidRDefault="00414BC1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(ПНП)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156" w:right="0" w:firstLine="0"/>
              <w:jc w:val="center"/>
            </w:pPr>
            <w:r>
              <w:rPr>
                <w:i/>
                <w:sz w:val="29"/>
              </w:rPr>
              <w:t>СЧП</w:t>
            </w:r>
          </w:p>
          <w:p w:rsidR="00DF7409" w:rsidRDefault="00414BC1">
            <w:pPr>
              <w:tabs>
                <w:tab w:val="center" w:pos="1329"/>
                <w:tab w:val="center" w:pos="2469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sz w:val="29"/>
              </w:rPr>
              <w:t>ПНП</w:t>
            </w:r>
            <w:r>
              <w:rPr>
                <w:rFonts w:ascii="Segoe UI Symbol" w:eastAsia="Segoe UI Symbol" w:hAnsi="Segoe UI Symbol" w:cs="Segoe UI Symbol"/>
                <w:sz w:val="29"/>
              </w:rPr>
              <w:t></w:t>
            </w:r>
            <w:r>
              <w:rPr>
                <w:rFonts w:ascii="Segoe UI Symbol" w:eastAsia="Segoe UI Symbol" w:hAnsi="Segoe UI Symbol" w:cs="Segoe UI Symbol"/>
                <w:sz w:val="29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93633" cy="6408"/>
                      <wp:effectExtent l="0" t="0" r="0" b="0"/>
                      <wp:docPr id="49503" name="Group 49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633" cy="6408"/>
                                <a:chOff x="0" y="0"/>
                                <a:chExt cx="393633" cy="6408"/>
                              </a:xfrm>
                            </wpg:grpSpPr>
                            <wps:wsp>
                              <wps:cNvPr id="6740" name="Shape 6740"/>
                              <wps:cNvSpPr/>
                              <wps:spPr>
                                <a:xfrm>
                                  <a:off x="0" y="0"/>
                                  <a:ext cx="39363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3633">
                                      <a:moveTo>
                                        <a:pt x="0" y="0"/>
                                      </a:moveTo>
                                      <a:lnTo>
                                        <a:pt x="393633" y="0"/>
                                      </a:lnTo>
                                    </a:path>
                                  </a:pathLst>
                                </a:custGeom>
                                <a:ln w="64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503" style="width:30.9947pt;height:0.504558pt;mso-position-horizontal-relative:char;mso-position-vertical-relative:line" coordsize="3936,64">
                      <v:shape id="Shape 6740" style="position:absolute;width:3936;height:0;left:0;top:0;" coordsize="393633,0" path="m0,0l393633,0">
                        <v:stroke weight="0.50455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9"/>
              </w:rPr>
              <w:t xml:space="preserve"> *100,</w:t>
            </w:r>
          </w:p>
          <w:p w:rsidR="00DF7409" w:rsidRDefault="00414BC1">
            <w:pPr>
              <w:tabs>
                <w:tab w:val="center" w:pos="2120"/>
                <w:tab w:val="center" w:pos="3155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sz w:val="29"/>
              </w:rPr>
              <w:t>СВП</w:t>
            </w:r>
            <w:r>
              <w:rPr>
                <w:i/>
                <w:sz w:val="29"/>
              </w:rPr>
              <w:tab/>
            </w:r>
            <w:r>
              <w:rPr>
                <w:sz w:val="24"/>
              </w:rPr>
              <w:t xml:space="preserve"> </w:t>
            </w:r>
          </w:p>
          <w:p w:rsidR="00DF7409" w:rsidRDefault="00414BC1">
            <w:pPr>
              <w:spacing w:after="0" w:line="259" w:lineRule="auto"/>
              <w:ind w:right="427" w:firstLine="0"/>
              <w:jc w:val="left"/>
            </w:pPr>
            <w:r>
              <w:rPr>
                <w:sz w:val="24"/>
              </w:rPr>
              <w:t>де СЧП – сума чистих премій; СВП – сума валових премій.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3" w:line="275" w:lineRule="auto"/>
              <w:ind w:right="0" w:firstLine="0"/>
              <w:jc w:val="center"/>
            </w:pPr>
            <w:r>
              <w:rPr>
                <w:sz w:val="24"/>
              </w:rPr>
              <w:t xml:space="preserve">Характеризує ступінь фінансової незалежності </w:t>
            </w:r>
          </w:p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страхової компанії від перестраховиків </w:t>
            </w:r>
          </w:p>
        </w:tc>
      </w:tr>
    </w:tbl>
    <w:p w:rsidR="00DF7409" w:rsidRDefault="00414BC1">
      <w:pPr>
        <w:spacing w:after="98" w:line="259" w:lineRule="auto"/>
        <w:ind w:left="14" w:right="65" w:firstLine="0"/>
      </w:pPr>
      <w:r>
        <w:t xml:space="preserve">Складено на </w:t>
      </w:r>
      <w:r>
        <w:t xml:space="preserve">підставі [98, 108, 109, 110] та власними спостереженнями авторів. </w:t>
      </w:r>
    </w:p>
    <w:p w:rsidR="00DF7409" w:rsidRDefault="00414BC1">
      <w:pPr>
        <w:spacing w:after="151" w:line="259" w:lineRule="auto"/>
        <w:ind w:left="710" w:right="0" w:firstLine="0"/>
        <w:jc w:val="left"/>
      </w:pPr>
      <w:r>
        <w:rPr>
          <w:sz w:val="24"/>
        </w:rPr>
        <w:lastRenderedPageBreak/>
        <w:t xml:space="preserve"> </w:t>
      </w:r>
    </w:p>
    <w:p w:rsidR="00DF7409" w:rsidRDefault="00414BC1">
      <w:pPr>
        <w:ind w:left="14" w:right="65"/>
      </w:pPr>
      <w:r>
        <w:t>Отже, запропоновану загальну систему показників оцінки фінансової надійності страхової компанії можна застосовувати як основу для подальшого визначення фінансової стійкості та платоспромо</w:t>
      </w:r>
      <w:r>
        <w:t xml:space="preserve">жності. </w:t>
      </w:r>
    </w:p>
    <w:p w:rsidR="00DF7409" w:rsidRDefault="00414BC1">
      <w:pPr>
        <w:ind w:left="14" w:right="65"/>
      </w:pPr>
      <w:r>
        <w:t>Вважаємо, що певні показники, які запропоновані в наукових та нормативних джерелах (коефіцієнт автономії, коефіцієнт ділової активності, коефіцієнт фінансової стійкості, показники змін у капіталі чи чистих преміях страховиків, показники доходності</w:t>
      </w:r>
      <w:r>
        <w:t xml:space="preserve"> чи рентабельності), слід віднести до таких, що більше характеризують фінансову стійкість страховика та стабільність його діяльності. </w:t>
      </w:r>
    </w:p>
    <w:p w:rsidR="00DF7409" w:rsidRDefault="00414BC1">
      <w:pPr>
        <w:ind w:left="14" w:right="65"/>
      </w:pPr>
      <w:r>
        <w:t>Отже, основна відмінність між фінансовою надійністю та фінансовою стійкістю, на нашу думку, зводиться до того, що фінансо</w:t>
      </w:r>
      <w:r>
        <w:t xml:space="preserve">ва надійність характеризує здатність виконати фінансові зобов’язання в момент їх виникнення (що й є одним з головних чинників, що формує для споживача послуг уяву про надійність обраної компанії), а фінансова стійкість характеризує здатність розподіляти і </w:t>
      </w:r>
      <w:r>
        <w:t xml:space="preserve">використовувати фінансові ресурси страхової компанії таким чином, щоб забезпечити її розвиток, зростання прибутку і зберегти при цьому платоспроможність. </w:t>
      </w:r>
    </w:p>
    <w:p w:rsidR="00DF7409" w:rsidRDefault="00414BC1">
      <w:pPr>
        <w:ind w:left="14" w:right="65"/>
      </w:pPr>
      <w:r>
        <w:t xml:space="preserve">Таким чином, в результаті проведеного дослідження авторами запропонована загальна система показників </w:t>
      </w:r>
      <w:r>
        <w:t xml:space="preserve">оцінки фінансової надійності страхової компанії як складової її фінансової стійкості відповідно до критерію, що «фінансова надійність виявляється лише в момент урегулювання фінансових зобов'язань страховиком».  </w:t>
      </w:r>
    </w:p>
    <w:p w:rsidR="00DF7409" w:rsidRDefault="00414BC1">
      <w:pPr>
        <w:spacing w:after="186" w:line="259" w:lineRule="auto"/>
        <w:ind w:left="710" w:right="0" w:firstLine="0"/>
        <w:jc w:val="left"/>
      </w:pPr>
      <w:r>
        <w:t xml:space="preserve"> </w:t>
      </w:r>
    </w:p>
    <w:p w:rsidR="00DF7409" w:rsidRDefault="00414BC1">
      <w:pPr>
        <w:spacing w:after="137" w:line="259" w:lineRule="auto"/>
        <w:ind w:left="710" w:right="65" w:firstLine="0"/>
      </w:pPr>
      <w:r>
        <w:t>6.3 Показники рентабельності: характеристи</w:t>
      </w:r>
      <w:r>
        <w:t xml:space="preserve">ка та визначення </w:t>
      </w:r>
    </w:p>
    <w:p w:rsidR="00DF7409" w:rsidRDefault="00414BC1">
      <w:pPr>
        <w:spacing w:after="184" w:line="259" w:lineRule="auto"/>
        <w:ind w:left="710" w:right="0" w:firstLine="0"/>
        <w:jc w:val="left"/>
      </w:pPr>
      <w:r>
        <w:t xml:space="preserve"> </w:t>
      </w:r>
    </w:p>
    <w:p w:rsidR="00DF7409" w:rsidRDefault="00414BC1">
      <w:pPr>
        <w:ind w:left="14" w:right="65"/>
      </w:pPr>
      <w:r>
        <w:t xml:space="preserve">Обов’язковими елементами процедури оцінки фінансового стану страхової компанії в рамках порівняльного аналізу стають показники рентабельності. Так, </w:t>
      </w:r>
      <w:r>
        <w:lastRenderedPageBreak/>
        <w:t>порівняння розміру прибутку з величиною страхових внесків, що надійшли, з однієї сторони</w:t>
      </w:r>
      <w:r>
        <w:t xml:space="preserve">, показує обсяг прибутку з кожної грошової одиниці страхових платежів а, з іншої сторони, ув’язує розмір прибутку, як основне джерело фінансових ресурсів, з обсягом виконаної роботи щодо формування страхового фонду.  </w:t>
      </w:r>
    </w:p>
    <w:p w:rsidR="00DF7409" w:rsidRDefault="00414BC1">
      <w:pPr>
        <w:ind w:left="14" w:right="65"/>
      </w:pPr>
      <w:r>
        <w:t>Але, в зв’язку з тим, що головною мето</w:t>
      </w:r>
      <w:r>
        <w:t>ю діяльності суб’єктів страхової справи в системі страхування є забезпечення страховим захистом, тобто виконання прийнятих за договорами страхування фінансових зобов’язань, на практиці рентабельність страхових операцій, як правило, виявляється не високою [</w:t>
      </w:r>
      <w:r>
        <w:t xml:space="preserve">115, с. 779].  </w:t>
      </w:r>
    </w:p>
    <w:p w:rsidR="00DF7409" w:rsidRDefault="00414BC1">
      <w:pPr>
        <w:ind w:left="14" w:right="65"/>
      </w:pPr>
      <w:r>
        <w:t xml:space="preserve">Наразі в літературі немає однозначної думки з приводу конкретних показників, які характеризують рентабельність діяльності страхової компанії.  </w:t>
      </w:r>
    </w:p>
    <w:p w:rsidR="00DF7409" w:rsidRDefault="00414BC1">
      <w:pPr>
        <w:ind w:left="14" w:right="65"/>
      </w:pPr>
      <w:r>
        <w:t>Аналіз рентабельності варто розпочинати з вивчення динамічного ряду цього показника, звертаючи о</w:t>
      </w:r>
      <w:r>
        <w:t xml:space="preserve">собливу увагу на нерентабельні та </w:t>
      </w:r>
    </w:p>
    <w:p w:rsidR="00DF7409" w:rsidRDefault="00414BC1">
      <w:pPr>
        <w:ind w:left="14" w:right="65" w:firstLine="0"/>
      </w:pPr>
      <w:r>
        <w:t xml:space="preserve">високорентабельні показники, як фактори, які мають критичні характеристики: низька рентабельність обмежує можливості самофінансування страхової компанії, а висока – вказує на порушення основного принципу еквівалентності </w:t>
      </w:r>
    </w:p>
    <w:p w:rsidR="00DF7409" w:rsidRDefault="00414BC1">
      <w:pPr>
        <w:spacing w:after="183" w:line="259" w:lineRule="auto"/>
        <w:ind w:left="14" w:right="65" w:firstLine="0"/>
      </w:pPr>
      <w:r>
        <w:t xml:space="preserve">[115, с. 780].  </w:t>
      </w:r>
    </w:p>
    <w:p w:rsidR="00DF7409" w:rsidRDefault="00414BC1">
      <w:pPr>
        <w:ind w:left="14" w:right="65"/>
      </w:pPr>
      <w:r>
        <w:t xml:space="preserve">Рівновага у відношенні рентабельності може бути досягнута двома шляхами:  </w:t>
      </w:r>
    </w:p>
    <w:p w:rsidR="00DF7409" w:rsidRDefault="00414BC1">
      <w:pPr>
        <w:ind w:left="14" w:right="65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зміна розмірів страхових тарифів, приводячи у відповідність їх величини з фактичним рівнем збитковості страхової суми;  </w:t>
      </w:r>
    </w:p>
    <w:p w:rsidR="00DF7409" w:rsidRDefault="00414BC1">
      <w:pPr>
        <w:ind w:left="14" w:right="65"/>
      </w:pPr>
      <w:r>
        <w:t>‒</w:t>
      </w:r>
      <w:r>
        <w:rPr>
          <w:rFonts w:ascii="Arial" w:eastAsia="Arial" w:hAnsi="Arial" w:cs="Arial"/>
        </w:rPr>
        <w:t xml:space="preserve"> </w:t>
      </w:r>
      <w:r>
        <w:t>розширення об’єму страхової відповідаль</w:t>
      </w:r>
      <w:r>
        <w:t xml:space="preserve">ності по даному виду страхування при збереженні розмірів страхового тарифу.  </w:t>
      </w:r>
    </w:p>
    <w:p w:rsidR="00DF7409" w:rsidRDefault="00414BC1">
      <w:pPr>
        <w:ind w:left="14" w:right="65"/>
      </w:pPr>
      <w:r>
        <w:t xml:space="preserve">При цьому очевидно, що з точки зору інтересів страхувальників і розвитку страхової справи, другий шлях найбільш переважний.  </w:t>
      </w:r>
    </w:p>
    <w:p w:rsidR="00DF7409" w:rsidRDefault="00414BC1">
      <w:pPr>
        <w:ind w:left="14" w:right="65"/>
      </w:pPr>
      <w:r>
        <w:t>При загальному підході під рентабельністю розумієтьс</w:t>
      </w:r>
      <w:r>
        <w:t xml:space="preserve">я визначення питомої ваги прибутку в існуючих джерелах власних коштів шляхом розрахунку </w:t>
      </w:r>
      <w:r>
        <w:lastRenderedPageBreak/>
        <w:t xml:space="preserve">відношення балансового прибутку до вартості статутного або власного капіталу [115, с. 780].  </w:t>
      </w:r>
    </w:p>
    <w:p w:rsidR="00DF7409" w:rsidRDefault="00414BC1">
      <w:pPr>
        <w:ind w:left="14" w:right="65"/>
      </w:pPr>
      <w:r>
        <w:t>З допомогою коефіцієнтів рентабельності розраховується ефективність управл</w:t>
      </w:r>
      <w:r>
        <w:t xml:space="preserve">іння ресурсами і доходами компанії, виявляється її здатність підтримувати фінансову стабільність в довгостроковій перспективі.  </w:t>
      </w:r>
    </w:p>
    <w:p w:rsidR="00DF7409" w:rsidRDefault="00414BC1">
      <w:pPr>
        <w:ind w:left="14" w:right="65"/>
      </w:pPr>
      <w:r>
        <w:t>Незалежно від виду і направлення економічної діяльності для аналізу рентабельності використовуються загальні показники, такі як</w:t>
      </w:r>
      <w:r>
        <w:t xml:space="preserve">: рентабельність виробництва, рентабельність продукції, рентабельність товарної лінії, рентабельність продажу (обороту), рентабельність капіталу.  </w:t>
      </w:r>
    </w:p>
    <w:p w:rsidR="00DF7409" w:rsidRDefault="00414BC1">
      <w:pPr>
        <w:ind w:left="14" w:right="65"/>
      </w:pPr>
      <w:r>
        <w:t xml:space="preserve">Розглянемо, детальніше рентабельність страхового продукту. Рентабельність страхового продукту (послуг) – це </w:t>
      </w:r>
      <w:r>
        <w:t>відношення фактичного прибутку до витрат страхової компанії. Кожній страховій компанії необхідна інформація про рентабельність його продуктів. Тому даний показник має важливе значення для страхової компанії і дає їй можливість визначати більш прибутковий т</w:t>
      </w:r>
      <w:r>
        <w:t xml:space="preserve">а вигідніший для виробництва та продажу населенню продукт.  </w:t>
      </w:r>
    </w:p>
    <w:p w:rsidR="00DF7409" w:rsidRDefault="00414BC1">
      <w:pPr>
        <w:ind w:left="14" w:right="65"/>
      </w:pPr>
      <w:r>
        <w:t xml:space="preserve">Однак варто враховувати те, що собівартість повинна відповідати витратам на основі рівноважних цін.  </w:t>
      </w:r>
    </w:p>
    <w:p w:rsidR="00DF7409" w:rsidRDefault="00414BC1">
      <w:pPr>
        <w:ind w:left="14" w:right="65"/>
      </w:pPr>
      <w:r>
        <w:t xml:space="preserve">Рентабельність страхового продукту доцільно аналізувати, ураховуючи вплив таких факторів:  </w:t>
      </w:r>
    </w:p>
    <w:p w:rsidR="00DF7409" w:rsidRDefault="00414BC1">
      <w:pPr>
        <w:ind w:left="710" w:right="199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зміна структури та асортименту страхових продуктів;  ‒</w:t>
      </w:r>
      <w:r>
        <w:rPr>
          <w:rFonts w:ascii="Arial" w:eastAsia="Arial" w:hAnsi="Arial" w:cs="Arial"/>
        </w:rPr>
        <w:t xml:space="preserve"> </w:t>
      </w:r>
      <w:r>
        <w:t xml:space="preserve">зміна собівартості страхових продуктів та інші.  </w:t>
      </w:r>
    </w:p>
    <w:p w:rsidR="00DF7409" w:rsidRDefault="00414BC1">
      <w:pPr>
        <w:ind w:left="14" w:right="65"/>
      </w:pPr>
      <w:r>
        <w:t>На основі загальних показників рентабельності, які використовуються для оцінки прибутковості різних видів підприємництва, економістами розроблені спец</w:t>
      </w:r>
      <w:r>
        <w:t xml:space="preserve">іальні показники, які характеризують рентабельність страхових продуктів за страховою діяльністю загалом.  </w:t>
      </w:r>
    </w:p>
    <w:p w:rsidR="00DF7409" w:rsidRDefault="00414BC1">
      <w:pPr>
        <w:spacing w:after="136" w:line="259" w:lineRule="auto"/>
        <w:ind w:left="710" w:right="65" w:firstLine="0"/>
      </w:pPr>
      <w:r>
        <w:t xml:space="preserve">Доцільно виділити найбільш суттєві (табл. 6.6).  </w:t>
      </w:r>
    </w:p>
    <w:p w:rsidR="00DF7409" w:rsidRDefault="00414BC1">
      <w:pPr>
        <w:spacing w:after="169" w:line="259" w:lineRule="auto"/>
        <w:ind w:left="710" w:right="0" w:firstLine="0"/>
        <w:jc w:val="left"/>
      </w:pPr>
      <w:r>
        <w:t xml:space="preserve"> </w:t>
      </w:r>
    </w:p>
    <w:p w:rsidR="00DF7409" w:rsidRDefault="00414BC1">
      <w:pPr>
        <w:spacing w:after="185" w:line="259" w:lineRule="auto"/>
        <w:ind w:left="10" w:right="73" w:hanging="10"/>
        <w:jc w:val="right"/>
      </w:pPr>
      <w:r>
        <w:t xml:space="preserve">Таблиця 6.6 </w:t>
      </w:r>
    </w:p>
    <w:p w:rsidR="00DF7409" w:rsidRDefault="00414BC1">
      <w:pPr>
        <w:spacing w:after="0" w:line="259" w:lineRule="auto"/>
        <w:ind w:left="45" w:right="35" w:hanging="10"/>
        <w:jc w:val="center"/>
      </w:pPr>
      <w:r>
        <w:lastRenderedPageBreak/>
        <w:t xml:space="preserve">Показники, що характеризують рентабельність діяльності страхової організації [116, </w:t>
      </w:r>
      <w:r>
        <w:t xml:space="preserve">117, 118] </w:t>
      </w:r>
    </w:p>
    <w:tbl>
      <w:tblPr>
        <w:tblStyle w:val="TableGrid"/>
        <w:tblW w:w="9858" w:type="dxa"/>
        <w:tblInd w:w="-110" w:type="dxa"/>
        <w:tblCellMar>
          <w:top w:w="7" w:type="dxa"/>
          <w:left w:w="110" w:type="dxa"/>
          <w:bottom w:w="10" w:type="dxa"/>
          <w:right w:w="46" w:type="dxa"/>
        </w:tblCellMar>
        <w:tblLook w:val="04A0" w:firstRow="1" w:lastRow="0" w:firstColumn="1" w:lastColumn="0" w:noHBand="0" w:noVBand="1"/>
      </w:tblPr>
      <w:tblGrid>
        <w:gridCol w:w="2237"/>
        <w:gridCol w:w="7621"/>
      </w:tblGrid>
      <w:tr w:rsidR="00DF7409">
        <w:trPr>
          <w:trHeight w:val="288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Показник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Формула </w:t>
            </w:r>
          </w:p>
        </w:tc>
      </w:tr>
      <w:tr w:rsidR="00DF7409">
        <w:trPr>
          <w:trHeight w:val="288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F7409">
        <w:trPr>
          <w:trHeight w:val="1177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Рентабельність страхової послуги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399" w:right="0" w:firstLine="0"/>
              <w:jc w:val="center"/>
            </w:pPr>
            <w:r>
              <w:rPr>
                <w:i/>
                <w:sz w:val="24"/>
              </w:rPr>
              <w:t>ЧП</w:t>
            </w:r>
          </w:p>
          <w:p w:rsidR="00DF7409" w:rsidRDefault="00414BC1">
            <w:pPr>
              <w:spacing w:after="0" w:line="259" w:lineRule="auto"/>
              <w:ind w:right="15" w:firstLine="0"/>
              <w:jc w:val="center"/>
            </w:pPr>
            <w:proofErr w:type="spellStart"/>
            <w:r>
              <w:rPr>
                <w:i/>
                <w:sz w:val="24"/>
              </w:rPr>
              <w:t>Р</w:t>
            </w:r>
            <w:r>
              <w:rPr>
                <w:i/>
                <w:sz w:val="21"/>
                <w:vertAlign w:val="subscript"/>
              </w:rPr>
              <w:t>сп</w:t>
            </w:r>
            <w:proofErr w:type="spellEnd"/>
            <w:r>
              <w:rPr>
                <w:i/>
                <w:sz w:val="21"/>
                <w:vertAlign w:val="subscript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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8814" cy="1"/>
                      <wp:effectExtent l="0" t="0" r="0" b="0"/>
                      <wp:docPr id="46669" name="Group 46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814" cy="1"/>
                                <a:chOff x="0" y="0"/>
                                <a:chExt cx="228814" cy="1"/>
                              </a:xfrm>
                            </wpg:grpSpPr>
                            <wps:wsp>
                              <wps:cNvPr id="8118" name="Shape 8118"/>
                              <wps:cNvSpPr/>
                              <wps:spPr>
                                <a:xfrm>
                                  <a:off x="0" y="0"/>
                                  <a:ext cx="228814" cy="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814" h="1">
                                      <a:moveTo>
                                        <a:pt x="0" y="0"/>
                                      </a:moveTo>
                                      <a:lnTo>
                                        <a:pt x="228814" y="1"/>
                                      </a:lnTo>
                                    </a:path>
                                  </a:pathLst>
                                </a:custGeom>
                                <a:ln w="631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669" style="width:18.0168pt;height:6.10352e-05pt;mso-position-horizontal-relative:char;mso-position-vertical-relative:line" coordsize="2288,0">
                      <v:shape id="Shape 8118" style="position:absolute;width:2288;height:0;left:0;top:0;" coordsize="228814,1" path="m0,0l228814,1">
                        <v:stroke weight="0.4969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, </w:t>
            </w:r>
          </w:p>
          <w:p w:rsidR="00DF7409" w:rsidRDefault="00414BC1">
            <w:pPr>
              <w:spacing w:after="22" w:line="259" w:lineRule="auto"/>
              <w:ind w:left="442" w:right="0" w:firstLine="0"/>
              <w:jc w:val="center"/>
            </w:pPr>
            <w:r>
              <w:rPr>
                <w:i/>
                <w:sz w:val="24"/>
              </w:rPr>
              <w:t>В</w:t>
            </w:r>
          </w:p>
          <w:p w:rsidR="00DF7409" w:rsidRDefault="00414BC1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де </w:t>
            </w:r>
            <w:proofErr w:type="spellStart"/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пс</w:t>
            </w:r>
            <w:proofErr w:type="spellEnd"/>
            <w:r>
              <w:rPr>
                <w:sz w:val="24"/>
              </w:rPr>
              <w:t xml:space="preserve"> – рентабельність страхової послуги; ЧП – чистий прибуток; В – витрати страхової компанії </w:t>
            </w:r>
          </w:p>
        </w:tc>
      </w:tr>
      <w:tr w:rsidR="00DF7409">
        <w:trPr>
          <w:trHeight w:val="1176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Рентабельність продаж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16" w:lineRule="auto"/>
              <w:ind w:left="3227" w:right="3179" w:firstLine="505"/>
              <w:jc w:val="left"/>
            </w:pPr>
            <w:r>
              <w:rPr>
                <w:i/>
                <w:sz w:val="24"/>
              </w:rPr>
              <w:t xml:space="preserve">ЧП </w:t>
            </w:r>
            <w:proofErr w:type="spellStart"/>
            <w:r>
              <w:rPr>
                <w:i/>
                <w:sz w:val="24"/>
              </w:rPr>
              <w:t>Р</w:t>
            </w:r>
            <w:r>
              <w:rPr>
                <w:i/>
                <w:sz w:val="21"/>
                <w:vertAlign w:val="subscript"/>
              </w:rPr>
              <w:t>п</w:t>
            </w:r>
            <w:proofErr w:type="spellEnd"/>
            <w:r>
              <w:rPr>
                <w:i/>
                <w:sz w:val="21"/>
                <w:vertAlign w:val="subscript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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8239" cy="1"/>
                      <wp:effectExtent l="0" t="0" r="0" b="0"/>
                      <wp:docPr id="46879" name="Group 46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239" cy="1"/>
                                <a:chOff x="0" y="0"/>
                                <a:chExt cx="228239" cy="1"/>
                              </a:xfrm>
                            </wpg:grpSpPr>
                            <wps:wsp>
                              <wps:cNvPr id="8170" name="Shape 8170"/>
                              <wps:cNvSpPr/>
                              <wps:spPr>
                                <a:xfrm>
                                  <a:off x="0" y="0"/>
                                  <a:ext cx="228239" cy="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239" h="1">
                                      <a:moveTo>
                                        <a:pt x="0" y="0"/>
                                      </a:moveTo>
                                      <a:lnTo>
                                        <a:pt x="228239" y="1"/>
                                      </a:lnTo>
                                    </a:path>
                                  </a:pathLst>
                                </a:custGeom>
                                <a:ln w="631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879" style="width:17.9716pt;height:6.10352e-05pt;mso-position-horizontal-relative:char;mso-position-vertical-relative:line" coordsize="2282,0">
                      <v:shape id="Shape 8170" style="position:absolute;width:2282;height:0;left:0;top:0;" coordsize="228239,1" path="m0,0l228239,1">
                        <v:stroke weight="0.4969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, </w:t>
            </w:r>
          </w:p>
          <w:p w:rsidR="00DF7409" w:rsidRDefault="00414BC1">
            <w:pPr>
              <w:spacing w:after="21" w:line="259" w:lineRule="auto"/>
              <w:ind w:left="363" w:right="0" w:firstLine="0"/>
              <w:jc w:val="center"/>
            </w:pPr>
            <w:r>
              <w:rPr>
                <w:i/>
                <w:sz w:val="24"/>
              </w:rPr>
              <w:t>CВ</w:t>
            </w:r>
          </w:p>
          <w:p w:rsidR="00DF7409" w:rsidRDefault="00414BC1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де </w:t>
            </w:r>
            <w:proofErr w:type="spellStart"/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п</w:t>
            </w:r>
            <w:proofErr w:type="spellEnd"/>
            <w:r>
              <w:rPr>
                <w:sz w:val="24"/>
              </w:rPr>
              <w:t xml:space="preserve"> – рентабельність продаж; ЧП</w:t>
            </w:r>
            <w:r>
              <w:rPr>
                <w:sz w:val="24"/>
              </w:rPr>
              <w:t xml:space="preserve"> – чистий прибуток; СВ – сума страхових внесків </w:t>
            </w:r>
          </w:p>
        </w:tc>
      </w:tr>
      <w:tr w:rsidR="00DF7409">
        <w:trPr>
          <w:trHeight w:val="1219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Рентабельність страхової справи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7409" w:rsidRDefault="00414BC1">
            <w:pPr>
              <w:spacing w:after="0" w:line="259" w:lineRule="auto"/>
              <w:ind w:left="432" w:right="0" w:firstLine="0"/>
              <w:jc w:val="center"/>
            </w:pPr>
            <w:proofErr w:type="spellStart"/>
            <w:r>
              <w:rPr>
                <w:i/>
                <w:sz w:val="24"/>
              </w:rPr>
              <w:t>П</w:t>
            </w:r>
            <w:r>
              <w:rPr>
                <w:i/>
                <w:sz w:val="22"/>
                <w:vertAlign w:val="subscript"/>
              </w:rPr>
              <w:t>тар</w:t>
            </w:r>
            <w:proofErr w:type="spellEnd"/>
          </w:p>
          <w:p w:rsidR="00DF7409" w:rsidRDefault="00414BC1">
            <w:pPr>
              <w:tabs>
                <w:tab w:val="center" w:pos="3386"/>
                <w:tab w:val="center" w:pos="4005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rPr>
                <w:i/>
                <w:sz w:val="24"/>
              </w:rPr>
              <w:t>Р</w:t>
            </w:r>
            <w:r>
              <w:rPr>
                <w:i/>
                <w:sz w:val="22"/>
                <w:vertAlign w:val="subscript"/>
              </w:rPr>
              <w:t>сc</w:t>
            </w:r>
            <w:proofErr w:type="spellEnd"/>
            <w:r>
              <w:rPr>
                <w:i/>
                <w:sz w:val="22"/>
                <w:vertAlign w:val="subscript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</w:t>
            </w:r>
            <w:r>
              <w:rPr>
                <w:rFonts w:ascii="Segoe UI Symbol" w:eastAsia="Segoe UI Symbol" w:hAnsi="Segoe UI Symbol" w:cs="Segoe UI Symbol"/>
                <w:sz w:val="24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9939" cy="6351"/>
                      <wp:effectExtent l="0" t="0" r="0" b="0"/>
                      <wp:docPr id="47094" name="Group 470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939" cy="6351"/>
                                <a:chOff x="0" y="0"/>
                                <a:chExt cx="319939" cy="6351"/>
                              </a:xfrm>
                            </wpg:grpSpPr>
                            <wps:wsp>
                              <wps:cNvPr id="8222" name="Shape 8222"/>
                              <wps:cNvSpPr/>
                              <wps:spPr>
                                <a:xfrm>
                                  <a:off x="0" y="0"/>
                                  <a:ext cx="3199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9939">
                                      <a:moveTo>
                                        <a:pt x="0" y="0"/>
                                      </a:moveTo>
                                      <a:lnTo>
                                        <a:pt x="319939" y="0"/>
                                      </a:lnTo>
                                    </a:path>
                                  </a:pathLst>
                                </a:custGeom>
                                <a:ln w="635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094" style="width:25.192pt;height:0.500091pt;mso-position-horizontal-relative:char;mso-position-vertical-relative:line" coordsize="3199,63">
                      <v:shape id="Shape 8222" style="position:absolute;width:3199;height:0;left:0;top:0;" coordsize="319939,0" path="m0,0l319939,0">
                        <v:stroke weight="0.500091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, </w:t>
            </w:r>
          </w:p>
          <w:p w:rsidR="00DF7409" w:rsidRDefault="00414BC1">
            <w:pPr>
              <w:spacing w:after="16" w:line="259" w:lineRule="auto"/>
              <w:ind w:left="420" w:right="0" w:firstLine="0"/>
              <w:jc w:val="center"/>
            </w:pPr>
            <w:r>
              <w:rPr>
                <w:i/>
                <w:sz w:val="24"/>
              </w:rPr>
              <w:t>ВВС</w:t>
            </w:r>
          </w:p>
          <w:p w:rsidR="00DF7409" w:rsidRDefault="00414BC1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де </w:t>
            </w:r>
            <w:proofErr w:type="spellStart"/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сс</w:t>
            </w:r>
            <w:proofErr w:type="spellEnd"/>
            <w:r>
              <w:rPr>
                <w:sz w:val="24"/>
              </w:rPr>
              <w:t xml:space="preserve"> – рентабельність страхової справи; </w:t>
            </w:r>
            <w:proofErr w:type="spellStart"/>
            <w:r>
              <w:rPr>
                <w:sz w:val="24"/>
              </w:rPr>
              <w:t>П</w:t>
            </w:r>
            <w:r>
              <w:rPr>
                <w:sz w:val="24"/>
                <w:vertAlign w:val="subscript"/>
              </w:rPr>
              <w:t>тар</w:t>
            </w:r>
            <w:proofErr w:type="spellEnd"/>
            <w:r>
              <w:rPr>
                <w:sz w:val="24"/>
              </w:rPr>
              <w:t xml:space="preserve"> – прибуток у тарифах, грн; ВВС – витрати на ведення справи </w:t>
            </w:r>
          </w:p>
        </w:tc>
      </w:tr>
      <w:tr w:rsidR="00DF7409">
        <w:trPr>
          <w:trHeight w:val="1196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Рентабельність інвестиційної діяльності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281" w:right="0" w:firstLine="0"/>
              <w:jc w:val="center"/>
            </w:pPr>
            <w:r>
              <w:rPr>
                <w:i/>
                <w:sz w:val="24"/>
              </w:rPr>
              <w:t>П</w:t>
            </w:r>
          </w:p>
          <w:p w:rsidR="00DF7409" w:rsidRDefault="00414BC1">
            <w:pPr>
              <w:spacing w:after="60" w:line="220" w:lineRule="auto"/>
              <w:ind w:left="3783" w:right="2848" w:hanging="580"/>
              <w:jc w:val="left"/>
            </w:pPr>
            <w:r>
              <w:rPr>
                <w:i/>
                <w:sz w:val="24"/>
              </w:rPr>
              <w:t>Р</w:t>
            </w:r>
            <w:r>
              <w:rPr>
                <w:i/>
                <w:sz w:val="21"/>
                <w:vertAlign w:val="subscript"/>
              </w:rPr>
              <w:t xml:space="preserve">ід 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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35738" cy="6162"/>
                      <wp:effectExtent l="0" t="0" r="0" b="0"/>
                      <wp:docPr id="47233" name="Group 47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738" cy="6162"/>
                                <a:chOff x="0" y="0"/>
                                <a:chExt cx="235738" cy="6162"/>
                              </a:xfrm>
                            </wpg:grpSpPr>
                            <wps:wsp>
                              <wps:cNvPr id="8284" name="Shape 8284"/>
                              <wps:cNvSpPr/>
                              <wps:spPr>
                                <a:xfrm>
                                  <a:off x="0" y="0"/>
                                  <a:ext cx="23573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5738">
                                      <a:moveTo>
                                        <a:pt x="0" y="0"/>
                                      </a:moveTo>
                                      <a:lnTo>
                                        <a:pt x="235738" y="0"/>
                                      </a:lnTo>
                                    </a:path>
                                  </a:pathLst>
                                </a:custGeom>
                                <a:ln w="616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233" style="width:18.562pt;height:0.485216pt;mso-position-horizontal-relative:char;mso-position-vertical-relative:line" coordsize="2357,61">
                      <v:shape id="Shape 8284" style="position:absolute;width:2357;height:0;left:0;top:0;" coordsize="235738,0" path="m0,0l235738,0">
                        <v:stroke weight="0.485216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i/>
                <w:sz w:val="14"/>
              </w:rPr>
              <w:t xml:space="preserve">ід 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СР</w:t>
            </w:r>
          </w:p>
          <w:p w:rsidR="00DF7409" w:rsidRDefault="00414BC1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>де Р</w:t>
            </w:r>
            <w:r>
              <w:rPr>
                <w:sz w:val="24"/>
                <w:vertAlign w:val="subscript"/>
              </w:rPr>
              <w:t>ід</w:t>
            </w:r>
            <w:r>
              <w:rPr>
                <w:sz w:val="24"/>
              </w:rPr>
              <w:t xml:space="preserve"> – рентабельність інвестиційної діяльності; П</w:t>
            </w:r>
            <w:r>
              <w:rPr>
                <w:sz w:val="24"/>
                <w:vertAlign w:val="subscript"/>
              </w:rPr>
              <w:t>ід</w:t>
            </w:r>
            <w:r>
              <w:rPr>
                <w:sz w:val="24"/>
              </w:rPr>
              <w:t xml:space="preserve"> – прибуток від інвестиційної діяльності; СР – страхові резерви </w:t>
            </w:r>
          </w:p>
        </w:tc>
      </w:tr>
    </w:tbl>
    <w:p w:rsidR="00DF7409" w:rsidRDefault="00414BC1">
      <w:pPr>
        <w:spacing w:after="0" w:line="259" w:lineRule="auto"/>
        <w:ind w:right="0" w:firstLine="0"/>
        <w:jc w:val="left"/>
      </w:pPr>
      <w:r>
        <w:t xml:space="preserve"> </w:t>
      </w:r>
    </w:p>
    <w:p w:rsidR="00DF7409" w:rsidRDefault="00414BC1">
      <w:pPr>
        <w:spacing w:after="0" w:line="259" w:lineRule="auto"/>
        <w:ind w:left="10" w:right="73" w:hanging="10"/>
        <w:jc w:val="right"/>
      </w:pPr>
      <w:r>
        <w:t>Продовження таблиці 6.6</w:t>
      </w:r>
    </w:p>
    <w:tbl>
      <w:tblPr>
        <w:tblStyle w:val="TableGrid"/>
        <w:tblW w:w="9858" w:type="dxa"/>
        <w:tblInd w:w="-110" w:type="dxa"/>
        <w:tblCellMar>
          <w:top w:w="17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238"/>
        <w:gridCol w:w="7620"/>
      </w:tblGrid>
      <w:tr w:rsidR="00DF7409">
        <w:trPr>
          <w:trHeight w:val="302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F7409">
        <w:trPr>
          <w:trHeight w:val="1177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Рентабельність активів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339" w:right="0" w:firstLine="0"/>
              <w:jc w:val="center"/>
            </w:pPr>
            <w:r>
              <w:rPr>
                <w:i/>
                <w:sz w:val="24"/>
              </w:rPr>
              <w:t>ЧП</w:t>
            </w:r>
          </w:p>
          <w:p w:rsidR="00DF7409" w:rsidRDefault="00414BC1">
            <w:pPr>
              <w:spacing w:after="0" w:line="259" w:lineRule="auto"/>
              <w:ind w:right="20" w:firstLine="0"/>
              <w:jc w:val="center"/>
            </w:pPr>
            <w:r>
              <w:rPr>
                <w:i/>
                <w:sz w:val="24"/>
              </w:rPr>
              <w:t>Р</w:t>
            </w:r>
            <w:r>
              <w:rPr>
                <w:i/>
                <w:sz w:val="21"/>
                <w:vertAlign w:val="subscript"/>
              </w:rPr>
              <w:t xml:space="preserve">а </w:t>
            </w:r>
            <w:r>
              <w:rPr>
                <w:rFonts w:ascii="Segoe UI Symbol" w:eastAsia="Segoe UI Symbol" w:hAnsi="Segoe UI Symbol" w:cs="Segoe UI Symbol"/>
                <w:sz w:val="24"/>
              </w:rPr>
              <w:t>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8239" cy="6302"/>
                      <wp:effectExtent l="0" t="0" r="0" b="0"/>
                      <wp:docPr id="45965" name="Group 45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239" cy="6302"/>
                                <a:chOff x="0" y="0"/>
                                <a:chExt cx="228239" cy="6302"/>
                              </a:xfrm>
                            </wpg:grpSpPr>
                            <wps:wsp>
                              <wps:cNvPr id="8375" name="Shape 8375"/>
                              <wps:cNvSpPr/>
                              <wps:spPr>
                                <a:xfrm>
                                  <a:off x="0" y="0"/>
                                  <a:ext cx="2282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239">
                                      <a:moveTo>
                                        <a:pt x="0" y="0"/>
                                      </a:moveTo>
                                      <a:lnTo>
                                        <a:pt x="228239" y="0"/>
                                      </a:lnTo>
                                    </a:path>
                                  </a:pathLst>
                                </a:custGeom>
                                <a:ln w="630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965" style="width:17.9716pt;height:1.52588e-05pt;mso-position-horizontal-relative:char;mso-position-vertical-relative:line" coordsize="2282,0">
                      <v:shape id="Shape 8375" style="position:absolute;width:2282;height:0;left:0;top:0;" coordsize="228239,0" path="m0,0l228239,0">
                        <v:stroke weight="0.49619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, </w:t>
            </w:r>
          </w:p>
          <w:p w:rsidR="00DF7409" w:rsidRDefault="00414BC1">
            <w:pPr>
              <w:spacing w:after="20" w:line="259" w:lineRule="auto"/>
              <w:ind w:left="404" w:right="0" w:firstLine="0"/>
              <w:jc w:val="center"/>
            </w:pPr>
            <w:r>
              <w:rPr>
                <w:i/>
                <w:sz w:val="24"/>
              </w:rPr>
              <w:t>А</w:t>
            </w:r>
          </w:p>
          <w:p w:rsidR="00DF7409" w:rsidRDefault="00414BC1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>де Р</w:t>
            </w:r>
            <w:r>
              <w:rPr>
                <w:sz w:val="24"/>
                <w:vertAlign w:val="subscript"/>
              </w:rPr>
              <w:t>а</w:t>
            </w:r>
            <w:r>
              <w:rPr>
                <w:sz w:val="24"/>
              </w:rPr>
              <w:t xml:space="preserve"> – рентабельність активів; ЧП – чистий </w:t>
            </w:r>
            <w:r>
              <w:rPr>
                <w:sz w:val="24"/>
              </w:rPr>
              <w:t xml:space="preserve">прибуток; А – сумарна вартість активів </w:t>
            </w:r>
          </w:p>
        </w:tc>
      </w:tr>
      <w:tr w:rsidR="00DF7409">
        <w:trPr>
          <w:trHeight w:val="1176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09" w:rsidRDefault="00414BC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Рентабельність власного капіталу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09" w:rsidRDefault="00414BC1">
            <w:pPr>
              <w:spacing w:after="0" w:line="259" w:lineRule="auto"/>
              <w:ind w:left="339" w:right="0" w:firstLine="0"/>
              <w:jc w:val="center"/>
            </w:pPr>
            <w:r>
              <w:rPr>
                <w:i/>
                <w:sz w:val="24"/>
              </w:rPr>
              <w:t>ЧП</w:t>
            </w:r>
          </w:p>
          <w:p w:rsidR="00DF7409" w:rsidRDefault="00414BC1">
            <w:pPr>
              <w:spacing w:after="0" w:line="259" w:lineRule="auto"/>
              <w:ind w:right="20" w:firstLine="0"/>
              <w:jc w:val="center"/>
            </w:pPr>
            <w:proofErr w:type="spellStart"/>
            <w:r>
              <w:rPr>
                <w:i/>
                <w:sz w:val="24"/>
              </w:rPr>
              <w:t>Р</w:t>
            </w:r>
            <w:r>
              <w:rPr>
                <w:i/>
                <w:sz w:val="21"/>
                <w:vertAlign w:val="subscript"/>
              </w:rPr>
              <w:t>к</w:t>
            </w:r>
            <w:proofErr w:type="spellEnd"/>
            <w:r>
              <w:rPr>
                <w:i/>
                <w:sz w:val="21"/>
                <w:vertAlign w:val="subscript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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30348" cy="6302"/>
                      <wp:effectExtent l="0" t="0" r="0" b="0"/>
                      <wp:docPr id="46194" name="Group 46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348" cy="6302"/>
                                <a:chOff x="0" y="0"/>
                                <a:chExt cx="230348" cy="6302"/>
                              </a:xfrm>
                            </wpg:grpSpPr>
                            <wps:wsp>
                              <wps:cNvPr id="8426" name="Shape 8426"/>
                              <wps:cNvSpPr/>
                              <wps:spPr>
                                <a:xfrm>
                                  <a:off x="0" y="0"/>
                                  <a:ext cx="23034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348">
                                      <a:moveTo>
                                        <a:pt x="0" y="0"/>
                                      </a:moveTo>
                                      <a:lnTo>
                                        <a:pt x="230348" y="0"/>
                                      </a:lnTo>
                                    </a:path>
                                  </a:pathLst>
                                </a:custGeom>
                                <a:ln w="630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194" style="width:18.1376pt;height:3.05176e-05pt;mso-position-horizontal-relative:char;mso-position-vertical-relative:line" coordsize="2303,0">
                      <v:shape id="Shape 8426" style="position:absolute;width:2303;height:0;left:0;top:0;" coordsize="230348,0" path="m0,0l230348,0">
                        <v:stroke weight="0.49619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, </w:t>
            </w:r>
          </w:p>
          <w:p w:rsidR="00DF7409" w:rsidRDefault="00414BC1">
            <w:pPr>
              <w:spacing w:after="20" w:line="259" w:lineRule="auto"/>
              <w:ind w:left="350" w:right="0" w:firstLine="0"/>
              <w:jc w:val="center"/>
            </w:pPr>
            <w:r>
              <w:rPr>
                <w:i/>
                <w:sz w:val="24"/>
              </w:rPr>
              <w:t>ВК</w:t>
            </w:r>
          </w:p>
          <w:p w:rsidR="00DF7409" w:rsidRDefault="00414BC1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де </w:t>
            </w:r>
            <w:proofErr w:type="spellStart"/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к</w:t>
            </w:r>
            <w:proofErr w:type="spellEnd"/>
            <w:r>
              <w:rPr>
                <w:sz w:val="24"/>
              </w:rPr>
              <w:t xml:space="preserve"> – рентабельність капіталу; ЧП – чистий прибуток; ВК – сума власного капіталу </w:t>
            </w:r>
          </w:p>
        </w:tc>
      </w:tr>
    </w:tbl>
    <w:p w:rsidR="00DF7409" w:rsidRDefault="00414BC1">
      <w:pPr>
        <w:spacing w:after="187" w:line="259" w:lineRule="auto"/>
        <w:ind w:right="0" w:firstLine="0"/>
        <w:jc w:val="center"/>
      </w:pPr>
      <w:r>
        <w:t xml:space="preserve"> </w:t>
      </w:r>
    </w:p>
    <w:p w:rsidR="00DF7409" w:rsidRDefault="00414BC1">
      <w:pPr>
        <w:ind w:left="14" w:right="65"/>
      </w:pPr>
      <w:r>
        <w:t xml:space="preserve">Особливістю визначення цих показників рентабельності є те, що в кожному </w:t>
      </w:r>
      <w:r>
        <w:t xml:space="preserve">конкретному випадку для розрахунку використовується певний вид прибутку страхової компанії.  </w:t>
      </w:r>
    </w:p>
    <w:p w:rsidR="00DF7409" w:rsidRDefault="00414BC1">
      <w:pPr>
        <w:ind w:left="14" w:right="65"/>
      </w:pPr>
      <w:r>
        <w:lastRenderedPageBreak/>
        <w:t>Зазначені показники рентабельності розглядаються двояко: з однієї сторони, ці показники використовуються для оцінки фінансових результатів діяльності страхової ко</w:t>
      </w:r>
      <w:r>
        <w:t xml:space="preserve">мпанії, з другої – вони є показниками, які характеризують один із аспектів фінансового стану страховика. </w:t>
      </w:r>
    </w:p>
    <w:p w:rsidR="00DF7409" w:rsidRDefault="00414BC1">
      <w:pPr>
        <w:spacing w:after="197" w:line="259" w:lineRule="auto"/>
        <w:ind w:left="710" w:right="0" w:firstLine="0"/>
        <w:jc w:val="left"/>
      </w:pPr>
      <w:r>
        <w:t xml:space="preserve"> </w:t>
      </w:r>
    </w:p>
    <w:p w:rsidR="00DF7409" w:rsidRDefault="00414BC1">
      <w:pPr>
        <w:spacing w:after="132" w:line="259" w:lineRule="auto"/>
        <w:ind w:left="633" w:right="0" w:firstLine="0"/>
        <w:jc w:val="center"/>
      </w:pPr>
      <w:r>
        <w:rPr>
          <w:b/>
        </w:rPr>
        <w:t xml:space="preserve">Питання для самоперевірки знань </w:t>
      </w:r>
    </w:p>
    <w:p w:rsidR="00DF7409" w:rsidRDefault="00414BC1">
      <w:pPr>
        <w:spacing w:after="183" w:line="259" w:lineRule="auto"/>
        <w:ind w:left="710" w:right="0" w:firstLine="0"/>
        <w:jc w:val="center"/>
      </w:pPr>
      <w:r>
        <w:rPr>
          <w:b/>
        </w:rPr>
        <w:t xml:space="preserve"> </w:t>
      </w:r>
    </w:p>
    <w:p w:rsidR="00DF7409" w:rsidRDefault="00414BC1">
      <w:pPr>
        <w:numPr>
          <w:ilvl w:val="0"/>
          <w:numId w:val="2"/>
        </w:numPr>
        <w:spacing w:after="191" w:line="259" w:lineRule="auto"/>
        <w:ind w:right="65"/>
      </w:pPr>
      <w:r>
        <w:t xml:space="preserve">Дайте визначення поняття «фінансовий стан страхової компанії». </w:t>
      </w:r>
    </w:p>
    <w:p w:rsidR="00DF7409" w:rsidRDefault="00414BC1">
      <w:pPr>
        <w:numPr>
          <w:ilvl w:val="0"/>
          <w:numId w:val="2"/>
        </w:numPr>
        <w:ind w:right="65"/>
      </w:pPr>
      <w:r>
        <w:t xml:space="preserve">Розкрийте загальні принципи функціонування </w:t>
      </w:r>
      <w:r>
        <w:t xml:space="preserve">системи неперервного спостереження за фінансовим станом страхової компанії. </w:t>
      </w:r>
    </w:p>
    <w:p w:rsidR="00DF7409" w:rsidRDefault="00414BC1">
      <w:pPr>
        <w:numPr>
          <w:ilvl w:val="0"/>
          <w:numId w:val="2"/>
        </w:numPr>
        <w:ind w:right="65"/>
      </w:pPr>
      <w:r>
        <w:t xml:space="preserve">Охарактеризуйте основні завдання оцінки фінансового стану страхової компанії.  </w:t>
      </w:r>
    </w:p>
    <w:p w:rsidR="00DF7409" w:rsidRDefault="00414BC1">
      <w:pPr>
        <w:numPr>
          <w:ilvl w:val="0"/>
          <w:numId w:val="2"/>
        </w:numPr>
        <w:spacing w:after="191" w:line="259" w:lineRule="auto"/>
        <w:ind w:right="65"/>
      </w:pPr>
      <w:r>
        <w:t xml:space="preserve">Розкрийте сутність поняття фінансової стійкості страхової компанії. </w:t>
      </w:r>
    </w:p>
    <w:p w:rsidR="00DF7409" w:rsidRDefault="00414BC1">
      <w:pPr>
        <w:numPr>
          <w:ilvl w:val="0"/>
          <w:numId w:val="2"/>
        </w:numPr>
        <w:ind w:right="65"/>
      </w:pPr>
      <w:r>
        <w:t>Охарактеризуйте фінансову стій</w:t>
      </w:r>
      <w:r>
        <w:t xml:space="preserve">кість страхової компанії як юридичної особи. </w:t>
      </w:r>
    </w:p>
    <w:p w:rsidR="00DF7409" w:rsidRDefault="00414BC1">
      <w:pPr>
        <w:numPr>
          <w:ilvl w:val="0"/>
          <w:numId w:val="2"/>
        </w:numPr>
        <w:ind w:right="65"/>
      </w:pPr>
      <w:r>
        <w:t xml:space="preserve">Дайте характеристику фінансової стійкості страхової компанії за вимогами, що ставляться до страхових компаній як до суб’єктів фінансового ринку. </w:t>
      </w:r>
    </w:p>
    <w:p w:rsidR="00DF7409" w:rsidRDefault="00414BC1">
      <w:pPr>
        <w:numPr>
          <w:ilvl w:val="0"/>
          <w:numId w:val="2"/>
        </w:numPr>
        <w:ind w:right="65"/>
      </w:pPr>
      <w:r>
        <w:t>Дайте характеристику групам критеріїв за якими проводиться оцінк</w:t>
      </w:r>
      <w:r>
        <w:t xml:space="preserve">а фінансової стійкості страхової організації. </w:t>
      </w:r>
    </w:p>
    <w:p w:rsidR="00DF7409" w:rsidRDefault="00414BC1">
      <w:pPr>
        <w:numPr>
          <w:ilvl w:val="0"/>
          <w:numId w:val="2"/>
        </w:numPr>
        <w:spacing w:after="191" w:line="259" w:lineRule="auto"/>
        <w:ind w:right="65"/>
      </w:pPr>
      <w:r>
        <w:t xml:space="preserve">Розкрийте сутність категорії «фінансова надійність страховика» </w:t>
      </w:r>
    </w:p>
    <w:p w:rsidR="00DF7409" w:rsidRDefault="00414BC1">
      <w:pPr>
        <w:numPr>
          <w:ilvl w:val="0"/>
          <w:numId w:val="2"/>
        </w:numPr>
        <w:spacing w:after="190" w:line="259" w:lineRule="auto"/>
        <w:ind w:right="65"/>
      </w:pPr>
      <w:r>
        <w:t xml:space="preserve">Охарактеризуйте показники оцінки фінансової надійності страховика. </w:t>
      </w:r>
    </w:p>
    <w:p w:rsidR="00DF7409" w:rsidRDefault="00414BC1">
      <w:pPr>
        <w:numPr>
          <w:ilvl w:val="0"/>
          <w:numId w:val="2"/>
        </w:numPr>
        <w:ind w:right="65"/>
      </w:pPr>
      <w:r>
        <w:t xml:space="preserve">Дайте характеристику показнику рентабельність страхового продукту (послуг). </w:t>
      </w:r>
    </w:p>
    <w:p w:rsidR="00DF7409" w:rsidRDefault="00414BC1">
      <w:pPr>
        <w:spacing w:after="193" w:line="259" w:lineRule="auto"/>
        <w:ind w:left="710" w:right="0" w:firstLine="0"/>
        <w:jc w:val="center"/>
      </w:pPr>
      <w:r>
        <w:rPr>
          <w:b/>
        </w:rPr>
        <w:t xml:space="preserve"> </w:t>
      </w:r>
    </w:p>
    <w:p w:rsidR="00DF7409" w:rsidRDefault="00414BC1">
      <w:pPr>
        <w:spacing w:after="132" w:line="259" w:lineRule="auto"/>
        <w:ind w:left="2017" w:right="0" w:firstLine="0"/>
        <w:jc w:val="left"/>
      </w:pPr>
      <w:r>
        <w:rPr>
          <w:b/>
        </w:rPr>
        <w:t xml:space="preserve">Практичні завдання для самостійного виконання </w:t>
      </w:r>
    </w:p>
    <w:p w:rsidR="00DF7409" w:rsidRDefault="00414BC1">
      <w:pPr>
        <w:spacing w:after="182" w:line="259" w:lineRule="auto"/>
        <w:ind w:left="710" w:right="0" w:firstLine="0"/>
        <w:jc w:val="center"/>
      </w:pPr>
      <w:r>
        <w:rPr>
          <w:b/>
        </w:rPr>
        <w:t xml:space="preserve"> </w:t>
      </w:r>
    </w:p>
    <w:p w:rsidR="00DF7409" w:rsidRDefault="00414BC1">
      <w:pPr>
        <w:ind w:left="14" w:right="65"/>
      </w:pPr>
      <w:r>
        <w:lastRenderedPageBreak/>
        <w:t xml:space="preserve">Задача 1. Визначити фактичний і нормативний запас платоспроможності страховика, який здійснює ризикові види страхування. Зробити висновки щодо виконання ним вимог закону України «Про страхування» стосовно </w:t>
      </w:r>
      <w:r>
        <w:t xml:space="preserve">рівня платоспроможності страхової компанії. </w:t>
      </w:r>
    </w:p>
    <w:p w:rsidR="00DF7409" w:rsidRDefault="00414BC1">
      <w:pPr>
        <w:spacing w:after="179" w:line="259" w:lineRule="auto"/>
        <w:ind w:right="0" w:firstLine="0"/>
        <w:jc w:val="right"/>
      </w:pPr>
      <w:r>
        <w:t xml:space="preserve"> </w:t>
      </w:r>
    </w:p>
    <w:p w:rsidR="00DF7409" w:rsidRDefault="00414BC1">
      <w:pPr>
        <w:spacing w:after="185" w:line="259" w:lineRule="auto"/>
        <w:ind w:left="10" w:right="73" w:hanging="10"/>
        <w:jc w:val="right"/>
      </w:pPr>
      <w:r>
        <w:t xml:space="preserve">Таблиця 1 </w:t>
      </w:r>
    </w:p>
    <w:p w:rsidR="00DF7409" w:rsidRDefault="00414BC1">
      <w:pPr>
        <w:spacing w:after="0" w:line="259" w:lineRule="auto"/>
        <w:ind w:left="45" w:right="114" w:hanging="10"/>
        <w:jc w:val="center"/>
      </w:pPr>
      <w:r>
        <w:t xml:space="preserve">Вихідні дані для розрахунків </w:t>
      </w:r>
    </w:p>
    <w:p w:rsidR="00DF7409" w:rsidRDefault="00414BC1">
      <w:pPr>
        <w:spacing w:after="53" w:line="259" w:lineRule="auto"/>
        <w:ind w:left="-120" w:right="-41" w:firstLine="0"/>
        <w:jc w:val="left"/>
      </w:pPr>
      <w:r>
        <w:rPr>
          <w:noProof/>
        </w:rPr>
        <w:drawing>
          <wp:inline distT="0" distB="0" distL="0" distR="0">
            <wp:extent cx="6269736" cy="2438400"/>
            <wp:effectExtent l="0" t="0" r="0" b="0"/>
            <wp:docPr id="49953" name="Picture 49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3" name="Picture 49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9736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409" w:rsidRDefault="00414BC1">
      <w:pPr>
        <w:ind w:left="14" w:right="65"/>
      </w:pPr>
      <w:r>
        <w:t xml:space="preserve">Задача 2. Оцінити стан фінансової надійності страховика за методикою «Тестів раннього попередження» та оформити у вигляді таблиці (Додаток А) за наведеними вихідними </w:t>
      </w:r>
      <w:r>
        <w:t xml:space="preserve">даними (таблиця 2). </w:t>
      </w:r>
    </w:p>
    <w:p w:rsidR="00DF7409" w:rsidRDefault="00414BC1">
      <w:pPr>
        <w:spacing w:after="136" w:line="259" w:lineRule="auto"/>
        <w:ind w:right="0" w:firstLine="0"/>
        <w:jc w:val="right"/>
      </w:pPr>
      <w:r>
        <w:t xml:space="preserve"> </w:t>
      </w:r>
    </w:p>
    <w:p w:rsidR="00DF7409" w:rsidRDefault="00414BC1">
      <w:pPr>
        <w:spacing w:after="132" w:line="259" w:lineRule="auto"/>
        <w:ind w:right="0" w:firstLine="0"/>
        <w:jc w:val="right"/>
      </w:pPr>
      <w:r>
        <w:t xml:space="preserve"> </w:t>
      </w:r>
    </w:p>
    <w:p w:rsidR="00DF7409" w:rsidRDefault="00414BC1">
      <w:pPr>
        <w:spacing w:after="0" w:line="259" w:lineRule="auto"/>
        <w:ind w:right="0" w:firstLine="0"/>
        <w:jc w:val="right"/>
      </w:pPr>
      <w:r>
        <w:t xml:space="preserve"> </w:t>
      </w:r>
    </w:p>
    <w:sectPr w:rsidR="00DF7409">
      <w:footerReference w:type="even" r:id="rId8"/>
      <w:footerReference w:type="default" r:id="rId9"/>
      <w:footerReference w:type="first" r:id="rId10"/>
      <w:pgSz w:w="11904" w:h="16838"/>
      <w:pgMar w:top="1138" w:right="1059" w:bottom="1110" w:left="1133" w:header="708" w:footer="711" w:gutter="0"/>
      <w:pgNumType w:start="1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BC1" w:rsidRDefault="00414BC1">
      <w:pPr>
        <w:spacing w:after="0" w:line="240" w:lineRule="auto"/>
      </w:pPr>
      <w:r>
        <w:separator/>
      </w:r>
    </w:p>
  </w:endnote>
  <w:endnote w:type="continuationSeparator" w:id="0">
    <w:p w:rsidR="00414BC1" w:rsidRDefault="0041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09" w:rsidRDefault="00414BC1">
    <w:pPr>
      <w:spacing w:after="0" w:line="259" w:lineRule="auto"/>
      <w:ind w:right="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149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09" w:rsidRDefault="00414BC1">
    <w:pPr>
      <w:spacing w:after="0" w:line="259" w:lineRule="auto"/>
      <w:ind w:right="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043B" w:rsidRPr="00E4043B">
      <w:rPr>
        <w:noProof/>
        <w:sz w:val="24"/>
      </w:rPr>
      <w:t>150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09" w:rsidRDefault="00414BC1">
    <w:pPr>
      <w:spacing w:after="0" w:line="259" w:lineRule="auto"/>
      <w:ind w:right="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149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BC1" w:rsidRDefault="00414BC1">
      <w:pPr>
        <w:spacing w:after="0" w:line="240" w:lineRule="auto"/>
      </w:pPr>
      <w:r>
        <w:separator/>
      </w:r>
    </w:p>
  </w:footnote>
  <w:footnote w:type="continuationSeparator" w:id="0">
    <w:p w:rsidR="00414BC1" w:rsidRDefault="00414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B7859"/>
    <w:multiLevelType w:val="hybridMultilevel"/>
    <w:tmpl w:val="5B486B4E"/>
    <w:lvl w:ilvl="0" w:tplc="23B2B1FA">
      <w:start w:val="2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36E6D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9CD67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26E0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7CC58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D0E93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9616E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56571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C86F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241577"/>
    <w:multiLevelType w:val="hybridMultilevel"/>
    <w:tmpl w:val="7876A6CC"/>
    <w:lvl w:ilvl="0" w:tplc="4E161B5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015A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CC89A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829E3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DA2D2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66C89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9AB8E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0ABAF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F0987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09"/>
    <w:rsid w:val="00414BC1"/>
    <w:rsid w:val="00DF7409"/>
    <w:rsid w:val="00E4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AF8B"/>
  <w15:docId w15:val="{BE63DA59-5A7C-4936-BCBF-68DFC7AE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390" w:lineRule="auto"/>
      <w:ind w:right="70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21117</Words>
  <Characters>12037</Characters>
  <Application>Microsoft Office Word</Application>
  <DocSecurity>0</DocSecurity>
  <Lines>100</Lines>
  <Paragraphs>66</Paragraphs>
  <ScaleCrop>false</ScaleCrop>
  <Company/>
  <LinksUpToDate>false</LinksUpToDate>
  <CharactersWithSpaces>33088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2025-04-09T14:09:00Z</dcterms:created>
  <dcterms:modified xsi:type="dcterms:W3CDTF">2025-04-09T14:09:00Z</dcterms:modified>
</cp:coreProperties>
</file>