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27" w:rsidRPr="00F17B27" w:rsidRDefault="00F17B27" w:rsidP="00F17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>Змістовий модуль 4: Бізнес-моделювання та масштабування</w:t>
      </w:r>
    </w:p>
    <w:p w:rsidR="00F17B27" w:rsidRDefault="00F17B27" w:rsidP="00F17B2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27">
        <w:rPr>
          <w:rFonts w:ascii="Times New Roman" w:hAnsi="Times New Roman" w:cs="Times New Roman"/>
          <w:b/>
          <w:sz w:val="28"/>
          <w:szCs w:val="28"/>
        </w:rPr>
        <w:t xml:space="preserve">Тема 6. Розробка бізнес-моделей для </w:t>
      </w:r>
      <w:proofErr w:type="spellStart"/>
      <w:r w:rsidRPr="00F17B27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</w:p>
    <w:p w:rsidR="00F17B27" w:rsidRPr="00F17B27" w:rsidRDefault="00F17B27" w:rsidP="00F17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 xml:space="preserve">Лекція презентує модель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із 9 блоками: ціннісна пропозиція, сегменти клієнтів, канали збуту, джерела доходів тощо. Студенти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адаптувати моделі до європейських умов: регуляторні вимоги (PSD2 вимагає відкритих API), культурні особливості (наприклад, перевага готівки в Німеччині), конкуренція з банками. Розглядаються типи моделей: </w:t>
      </w:r>
    </w:p>
    <w:p w:rsidR="00F17B27" w:rsidRPr="00F17B27" w:rsidRDefault="00F17B27" w:rsidP="00F17B2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27">
        <w:rPr>
          <w:rFonts w:ascii="Times New Roman" w:hAnsi="Times New Roman" w:cs="Times New Roman"/>
          <w:sz w:val="28"/>
          <w:szCs w:val="28"/>
        </w:rPr>
        <w:t>Freemium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>: базові послуги безкоштовні, преміум – платні (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7B27" w:rsidRPr="00F17B27" w:rsidRDefault="00F17B27" w:rsidP="00F17B2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>Підписка: фіксована плата за доступ (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Monese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7B27" w:rsidRDefault="00F17B27" w:rsidP="00F17B2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>Платформна економіка: посередництво між клієнтами та постачальниками (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Klarna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>).</w:t>
      </w:r>
    </w:p>
    <w:p w:rsidR="00F17B27" w:rsidRPr="00F17B27" w:rsidRDefault="00F17B27" w:rsidP="00F17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 xml:space="preserve">Методи тестування включають створення MVP (мінімально життєздатного продукту) та зворотний зв’язок від клієнтів. Кейси: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Monzo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, що пропонує прозорий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із низькими комісіями, і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Klarna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, що популяризувала модель "купи зараз, плати пізніше". Лекція включає практичне завдання: створення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для гіпотетичного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стартапу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>.</w:t>
      </w:r>
    </w:p>
    <w:p w:rsidR="00F17B27" w:rsidRDefault="00F17B27" w:rsidP="00F17B2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27">
        <w:rPr>
          <w:rFonts w:ascii="Times New Roman" w:hAnsi="Times New Roman" w:cs="Times New Roman"/>
          <w:b/>
          <w:sz w:val="28"/>
          <w:szCs w:val="28"/>
        </w:rPr>
        <w:t xml:space="preserve">Тема 7. Масштабування </w:t>
      </w:r>
      <w:proofErr w:type="spellStart"/>
      <w:r w:rsidRPr="00F17B27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  <w:r w:rsidRPr="00F17B27">
        <w:rPr>
          <w:rFonts w:ascii="Times New Roman" w:hAnsi="Times New Roman" w:cs="Times New Roman"/>
          <w:b/>
          <w:sz w:val="28"/>
          <w:szCs w:val="28"/>
        </w:rPr>
        <w:t xml:space="preserve"> на європейському ринку</w:t>
      </w:r>
    </w:p>
    <w:p w:rsidR="00F17B27" w:rsidRPr="00F17B27" w:rsidRDefault="00F17B27" w:rsidP="00F17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 xml:space="preserve">Лекція аналізує стратегії масштабування: </w:t>
      </w:r>
    </w:p>
    <w:p w:rsidR="00F17B27" w:rsidRPr="00F17B27" w:rsidRDefault="00F17B27" w:rsidP="00F17B2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>Географічна експансія: вихід на ринки різних країн ЄС (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працює у 30+ країнах). </w:t>
      </w:r>
      <w:bookmarkStart w:id="0" w:name="_GoBack"/>
      <w:bookmarkEnd w:id="0"/>
    </w:p>
    <w:p w:rsidR="00F17B27" w:rsidRPr="00F17B27" w:rsidRDefault="00F17B27" w:rsidP="00F17B2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>Партнерства: співпраця з банками чи корпораціями (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Starling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співпрацює з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-партнерами). </w:t>
      </w:r>
    </w:p>
    <w:p w:rsidR="00F17B27" w:rsidRPr="00F17B27" w:rsidRDefault="00F17B27" w:rsidP="00F17B2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27">
        <w:rPr>
          <w:rFonts w:ascii="Times New Roman" w:hAnsi="Times New Roman" w:cs="Times New Roman"/>
          <w:sz w:val="28"/>
          <w:szCs w:val="28"/>
        </w:rPr>
        <w:t>Диверсифікація продуктів: додавання нових послуг (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Wise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розширився від переказів до інвестицій).</w:t>
      </w:r>
      <w:r w:rsidRPr="00F17B27">
        <w:rPr>
          <w:rFonts w:ascii="Times New Roman" w:hAnsi="Times New Roman" w:cs="Times New Roman"/>
          <w:sz w:val="28"/>
          <w:szCs w:val="28"/>
        </w:rPr>
        <w:br/>
        <w:t xml:space="preserve">Ризики включають валютні коливання (зміна курсу євро впливає на 20%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>, звіт EIB), регуляторні бар’єри (отримання ліцензії в кожній країні) і конкуренцію з місцевими гравцями. Інструменти масштабування: цифровий маркетинг (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таргетована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реклама у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), локалізація продуктів (переклад, адаптація UX). Кейси: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Wise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, що досяг успіху через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і низькі комісії, і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Starling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27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F17B27">
        <w:rPr>
          <w:rFonts w:ascii="Times New Roman" w:hAnsi="Times New Roman" w:cs="Times New Roman"/>
          <w:sz w:val="28"/>
          <w:szCs w:val="28"/>
        </w:rPr>
        <w:t>, що використовує партнерства. Лекція завершується методами прогнозування зростання: оцінка TAM (загальний доступний ринок), SAM (доступний сегмент) і SOM (реально досяжний ринок).</w:t>
      </w:r>
    </w:p>
    <w:p w:rsidR="00922706" w:rsidRPr="00F17B27" w:rsidRDefault="00922706">
      <w:pPr>
        <w:rPr>
          <w:lang w:val="ru-RU"/>
        </w:rPr>
      </w:pPr>
    </w:p>
    <w:sectPr w:rsidR="00922706" w:rsidRPr="00F1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7585E"/>
    <w:multiLevelType w:val="multilevel"/>
    <w:tmpl w:val="9A0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4126A"/>
    <w:multiLevelType w:val="multilevel"/>
    <w:tmpl w:val="3620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2A"/>
    <w:rsid w:val="00861A2A"/>
    <w:rsid w:val="00922706"/>
    <w:rsid w:val="00F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CA701-0AAB-4EFB-A786-47952252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53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7397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6700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922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3761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594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306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5909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76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1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312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5301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52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2674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4441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884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2025-04-14T18:52:00Z</dcterms:created>
  <dcterms:modified xsi:type="dcterms:W3CDTF">2025-04-14T18:52:00Z</dcterms:modified>
</cp:coreProperties>
</file>