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020" w:rsidRPr="00893406" w:rsidRDefault="00EB6EF5" w:rsidP="0089340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93406">
        <w:rPr>
          <w:rFonts w:ascii="Times New Roman" w:hAnsi="Times New Roman" w:cs="Times New Roman"/>
          <w:b/>
          <w:sz w:val="28"/>
          <w:szCs w:val="28"/>
        </w:rPr>
        <w:t xml:space="preserve">ТЕМА 2. СУЧАСНІ ВЗАЄМОВІДНОСИНИ УКРАЇНИ </w:t>
      </w:r>
      <w:proofErr w:type="gramStart"/>
      <w:r w:rsidRPr="00893406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893406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893406">
        <w:rPr>
          <w:rFonts w:ascii="Times New Roman" w:hAnsi="Times New Roman" w:cs="Times New Roman"/>
          <w:b/>
          <w:sz w:val="28"/>
          <w:szCs w:val="28"/>
        </w:rPr>
        <w:t>МІЖНАРОДНИМИ ФІНАНСОВИМИ ОРГАНІЗАЦІЯМИ</w:t>
      </w:r>
    </w:p>
    <w:p w:rsidR="00EB6EF5" w:rsidRPr="00EB6EF5" w:rsidRDefault="00EB6EF5" w:rsidP="00893406">
      <w:pPr>
        <w:spacing w:before="100" w:beforeAutospacing="1" w:after="100" w:afterAutospacing="1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893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Міжнародний</w:t>
      </w:r>
      <w:proofErr w:type="spellEnd"/>
      <w:r w:rsidRPr="00893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93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валютний</w:t>
      </w:r>
      <w:proofErr w:type="spellEnd"/>
      <w:r w:rsidRPr="00893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фонд</w:t>
      </w:r>
    </w:p>
    <w:p w:rsidR="00EB6EF5" w:rsidRPr="00EB6EF5" w:rsidRDefault="00EB6EF5" w:rsidP="0089340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Міжнародний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Валютний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 (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International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Monetary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Fund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є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міжнародною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фінансовою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організацією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заснована в 1944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складу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входять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190 </w:t>
      </w:r>
      <w:proofErr w:type="spellStart"/>
      <w:proofErr w:type="gram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</w:t>
      </w:r>
      <w:proofErr w:type="spellEnd"/>
      <w:proofErr w:type="gram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6EF5" w:rsidRPr="00EB6EF5" w:rsidRDefault="00EB6EF5" w:rsidP="0089340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статус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спеціалізованої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 ООН і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метою є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регулювання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валютно-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кредитних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відносин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країн-членів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їм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дефіциті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платіжного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балансу шляхом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коротко- і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середньострокових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кредитів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іноземній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валюті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6EF5" w:rsidRPr="00EB6EF5" w:rsidRDefault="00EB6EF5" w:rsidP="0089340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Україна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стала членом МВФ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hyperlink r:id="rId6" w:tgtFrame="_blank" w:history="1">
        <w:r w:rsidRPr="0089340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Закону </w:t>
        </w:r>
        <w:proofErr w:type="spellStart"/>
        <w:r w:rsidRPr="0089340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України</w:t>
        </w:r>
        <w:proofErr w:type="spellEnd"/>
      </w:hyperlink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proofErr w:type="gram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</w:t>
      </w:r>
      <w:proofErr w:type="spellEnd"/>
      <w:proofErr w:type="gram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Міжнародного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валютного фонду,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Міжнародного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банку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реконструкції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Міжнародної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фінансової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корпорації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Міжнародної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асоціації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Багатостороннього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агентства по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гарантіях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інвестицій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червня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1992 р.</w:t>
      </w:r>
    </w:p>
    <w:p w:rsidR="00EB6EF5" w:rsidRPr="00EB6EF5" w:rsidRDefault="00EB6EF5" w:rsidP="0089340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Україна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1994 р. активно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співпрацює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МВФ,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використовуючи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proofErr w:type="gram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gram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ічні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досягнення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макроекономічної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стабілізації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необхідних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передумов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економічних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реформ. </w:t>
      </w:r>
    </w:p>
    <w:p w:rsidR="00EB6EF5" w:rsidRPr="00EB6EF5" w:rsidRDefault="00EB6EF5" w:rsidP="0089340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31 </w:t>
      </w:r>
      <w:proofErr w:type="spellStart"/>
      <w:proofErr w:type="gram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ік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МВФ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було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започатковано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економічного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впровадження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реформ в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загальним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обсягом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53,9 млрд дол. США.</w:t>
      </w:r>
    </w:p>
    <w:p w:rsidR="00EB6EF5" w:rsidRPr="00EB6EF5" w:rsidRDefault="00EB6EF5" w:rsidP="0089340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МВФ </w:t>
      </w:r>
      <w:proofErr w:type="gram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відповідних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направлялись як на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покриття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дефіциту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державного бюджету, так і на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покриття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золотовалютних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резервів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Національного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банку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6EF5" w:rsidRPr="00EB6EF5" w:rsidRDefault="00EB6EF5" w:rsidP="0089340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Кредитні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МВФ є одними з «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найдешевших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порівняно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умовами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позик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іншими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кредиторами. </w:t>
      </w:r>
      <w:proofErr w:type="spellStart"/>
      <w:proofErr w:type="gram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ільш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того,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МВФ надавали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можливість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посилення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фіскальної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фінансової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стабільності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поступово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запроваджувати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реформи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спрямувати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Україну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шляхом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стабільного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збалансованого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зростання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6EF5" w:rsidRPr="00EB6EF5" w:rsidRDefault="00EB6EF5" w:rsidP="0089340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початку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повномасштабної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військової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агресії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росії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завдяки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підтримці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МВФ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вдалось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фінансову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макроекономічну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стабільність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Допомога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надавалась у рамках </w:t>
      </w:r>
      <w:proofErr w:type="spellStart"/>
      <w:proofErr w:type="gram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ізних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інструментів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швидкого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Rapid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Financing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Instrument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RFI) та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Механізм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розширеного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Extended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Fund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Facility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EFF)), а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пільговій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грантовій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міжнародних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партнерів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спеціально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створений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Адміністративний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рахунок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МВФ.</w:t>
      </w:r>
    </w:p>
    <w:p w:rsidR="00EB6EF5" w:rsidRPr="00EB6EF5" w:rsidRDefault="00EB6EF5" w:rsidP="0089340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року Рада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виконавчих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директорів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МВФ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схвалила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нову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Програму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Механізму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розширеного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(EFF) у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</w:t>
      </w:r>
      <w:proofErr w:type="gram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11,6 млрд СПЗ (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близько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15,6 млрд дол. </w:t>
      </w:r>
      <w:proofErr w:type="gram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США).</w:t>
      </w:r>
      <w:proofErr w:type="gram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EFF є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частиною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пакету </w:t>
      </w:r>
      <w:proofErr w:type="spellStart"/>
      <w:proofErr w:type="gram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ідтримки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загальною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вартістю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115 млрд дол. США.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EFF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розрахована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4 роки (48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місяців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і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перегляді</w:t>
      </w:r>
      <w:proofErr w:type="gram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 перегляди у 2023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15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червня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13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жовтня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B6EF5" w:rsidRPr="00EB6EF5" w:rsidRDefault="00EB6EF5" w:rsidP="0089340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EFF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націлена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proofErr w:type="gram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ідтримку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спрямованої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збереження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фіскальної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цінової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фінансової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стабільності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підтримку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економічного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відновлення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одночасним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покращенням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зміцненням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інституції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сприяння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довгостроковому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зростанню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контексті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післявоєнної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відбудови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шляху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вступу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ЄС.</w:t>
      </w:r>
    </w:p>
    <w:p w:rsidR="00EB6EF5" w:rsidRPr="00EB6EF5" w:rsidRDefault="00EB6EF5" w:rsidP="00893406">
      <w:pPr>
        <w:spacing w:before="100" w:beforeAutospacing="1" w:after="100" w:afterAutospacing="1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893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Група</w:t>
      </w:r>
      <w:proofErr w:type="spellEnd"/>
      <w:r w:rsidRPr="00893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893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</w:t>
      </w:r>
      <w:proofErr w:type="gramEnd"/>
      <w:r w:rsidRPr="00893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ітового</w:t>
      </w:r>
      <w:proofErr w:type="spellEnd"/>
      <w:r w:rsidRPr="00893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банку</w:t>
      </w:r>
    </w:p>
    <w:p w:rsidR="00EB6EF5" w:rsidRPr="00EB6EF5" w:rsidRDefault="00EB6EF5" w:rsidP="0089340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Група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ітового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банку (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World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Bank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Group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складається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п'яти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організацій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4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Pr="008934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Міжнародний</w:t>
      </w:r>
      <w:proofErr w:type="spellEnd"/>
      <w:r w:rsidRPr="008934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банк </w:t>
      </w:r>
      <w:proofErr w:type="spellStart"/>
      <w:r w:rsidRPr="008934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реконструкції</w:t>
      </w:r>
      <w:proofErr w:type="spellEnd"/>
      <w:r w:rsidRPr="008934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та </w:t>
      </w:r>
      <w:proofErr w:type="spellStart"/>
      <w:r w:rsidRPr="008934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розвитку</w:t>
      </w:r>
      <w:proofErr w:type="spellEnd"/>
      <w:r w:rsidRPr="008934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МБРР (IBRD); </w:t>
      </w:r>
      <w:proofErr w:type="spellStart"/>
      <w:r w:rsidRPr="008934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Міжнародна</w:t>
      </w:r>
      <w:proofErr w:type="spellEnd"/>
      <w:r w:rsidRPr="008934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934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асоціація</w:t>
      </w:r>
      <w:proofErr w:type="spellEnd"/>
      <w:r w:rsidRPr="008934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934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розвитку</w:t>
      </w:r>
      <w:proofErr w:type="spellEnd"/>
      <w:r w:rsidRPr="008934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МАР (IDA); </w:t>
      </w:r>
      <w:proofErr w:type="spellStart"/>
      <w:r w:rsidRPr="008934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Міжнародна</w:t>
      </w:r>
      <w:proofErr w:type="spellEnd"/>
      <w:r w:rsidRPr="008934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934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фінансова</w:t>
      </w:r>
      <w:proofErr w:type="spellEnd"/>
      <w:r w:rsidRPr="008934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934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корпорація</w:t>
      </w:r>
      <w:proofErr w:type="spellEnd"/>
      <w:r w:rsidRPr="008934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МФК (IFC); </w:t>
      </w:r>
      <w:proofErr w:type="spellStart"/>
      <w:r w:rsidRPr="008934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Багатостороння</w:t>
      </w:r>
      <w:proofErr w:type="spellEnd"/>
      <w:r w:rsidRPr="008934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934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агенція</w:t>
      </w:r>
      <w:proofErr w:type="spellEnd"/>
      <w:r w:rsidRPr="008934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 </w:t>
      </w:r>
      <w:proofErr w:type="spellStart"/>
      <w:r w:rsidRPr="008934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гарантій</w:t>
      </w:r>
      <w:proofErr w:type="spellEnd"/>
      <w:r w:rsidRPr="008934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934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інвестицій</w:t>
      </w:r>
      <w:proofErr w:type="spellEnd"/>
      <w:r w:rsidRPr="008934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БАГІ (MIGA); </w:t>
      </w:r>
      <w:proofErr w:type="spellStart"/>
      <w:proofErr w:type="gramStart"/>
      <w:r w:rsidRPr="008934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Міжнародний</w:t>
      </w:r>
      <w:proofErr w:type="spellEnd"/>
      <w:r w:rsidRPr="008934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центр з </w:t>
      </w:r>
      <w:proofErr w:type="spellStart"/>
      <w:r w:rsidRPr="008934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врегулювання</w:t>
      </w:r>
      <w:proofErr w:type="spellEnd"/>
      <w:r w:rsidRPr="008934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934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інвестиційних</w:t>
      </w:r>
      <w:proofErr w:type="spellEnd"/>
      <w:r w:rsidRPr="008934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934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спорів</w:t>
      </w:r>
      <w:proofErr w:type="spellEnd"/>
      <w:r w:rsidRPr="008934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МЦУІС (ICSID)).</w:t>
      </w:r>
      <w:proofErr w:type="gramEnd"/>
      <w:r w:rsidRPr="008934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Метою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цих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фінансової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proofErr w:type="gram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gram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ічної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країнам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розвиваються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6EF5" w:rsidRPr="00EB6EF5" w:rsidRDefault="00EB6EF5" w:rsidP="0089340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Кожна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189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країн-членів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ітового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банку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володіє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певною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кількістю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акцій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голосів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країни-учасниці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залежить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їхньої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частки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статутному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капіталі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Банку, яка, у свою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чергу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значною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мірою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визначається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часткою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цих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proofErr w:type="gram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ітовій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економіці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Акціонери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формують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Раду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директорів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є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вищим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органом,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приймає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політику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Банку.</w:t>
      </w:r>
    </w:p>
    <w:p w:rsidR="00EB6EF5" w:rsidRPr="00EB6EF5" w:rsidRDefault="00EB6EF5" w:rsidP="0089340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Україна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приєдналась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proofErr w:type="gram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ітового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банку у 1992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Представництво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Світового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банку в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було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відкрито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1993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6EF5" w:rsidRPr="00EB6EF5" w:rsidRDefault="00EB6EF5" w:rsidP="0089340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міжнародних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кредитно-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фінансових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організацій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ітовий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 є другим,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МВФ, кредитором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роки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співробітництва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ітовий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 затвердив для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72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позики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загальним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обсягом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15,4 млрд дол. США та 2,2 </w:t>
      </w:r>
      <w:proofErr w:type="gram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gram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євро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отримано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14,2 млрд. дол. США та 2,2 </w:t>
      </w:r>
      <w:proofErr w:type="gram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gram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євро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6EF5" w:rsidRPr="00EB6EF5" w:rsidRDefault="00EB6EF5" w:rsidP="0089340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 лютого 2022 року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Світовий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мобілізував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підтримку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 млрд дол. США.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Понад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 </w:t>
      </w:r>
      <w:proofErr w:type="gram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gram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дол. США з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цієї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вже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надано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6EF5" w:rsidRPr="00EB6EF5" w:rsidRDefault="00EB6EF5" w:rsidP="0089340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ітового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банку та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створених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трастових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фондів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використовуються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державного бюджету,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здійснення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інституційних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структурних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реформ,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довгострокових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інвестиційних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проектів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відповідають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пріоритетним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напрямам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економічного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6EF5" w:rsidRPr="00EB6EF5" w:rsidRDefault="00EB6EF5" w:rsidP="0089340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</w:t>
      </w:r>
      <w:proofErr w:type="gram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метою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шляху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впровадження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структурних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реформ в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економіці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Світовим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банком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надано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Гарантію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підтримку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економічного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зростання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фіскально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стійких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6EF5" w:rsidRPr="00EB6EF5" w:rsidRDefault="00EB6EF5" w:rsidP="0089340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Наразі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здійснюються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заходи з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імплементації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нових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спільних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системних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проектів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будуть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впроваджуватись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відбудови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зокрема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реконструкції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транспортної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інфраструктури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“RELINK”,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електроенергетичного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сектору “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Re-Power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”, </w:t>
      </w:r>
      <w:proofErr w:type="spellStart"/>
      <w:proofErr w:type="gram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ідтримки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Heal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Ukraine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”,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відновлення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зруйнованого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житла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внаслідок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бойових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дій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“HOPE”, а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проектів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наразі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знаходяться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6EF5" w:rsidRPr="00EB6EF5" w:rsidRDefault="00EB6EF5" w:rsidP="00893406">
      <w:pPr>
        <w:spacing w:before="100" w:beforeAutospacing="1" w:after="100" w:afterAutospacing="1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893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Європейський</w:t>
      </w:r>
      <w:proofErr w:type="spellEnd"/>
      <w:r w:rsidRPr="00893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банк </w:t>
      </w:r>
      <w:proofErr w:type="spellStart"/>
      <w:r w:rsidRPr="00893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реконструкції</w:t>
      </w:r>
      <w:proofErr w:type="spellEnd"/>
      <w:r w:rsidRPr="00893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893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розвитку</w:t>
      </w:r>
      <w:proofErr w:type="spellEnd"/>
    </w:p>
    <w:p w:rsidR="00EB6EF5" w:rsidRPr="00EB6EF5" w:rsidRDefault="00EB6EF5" w:rsidP="0089340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Європейський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реконструкції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(ЄБРР) (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European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Bank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for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Reconstruction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and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Development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EBRD) –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міжнародна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фінансова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якої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спрямована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економічних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реформ у </w:t>
      </w:r>
      <w:proofErr w:type="spellStart"/>
      <w:proofErr w:type="gram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країнах</w:t>
      </w:r>
      <w:proofErr w:type="spellEnd"/>
      <w:proofErr w:type="gram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Східної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Європи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переходу до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ринкової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економіки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Банк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заснований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1990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proofErr w:type="gram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proofErr w:type="gram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годи про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заснування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Європейського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банку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реконструкції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Штаб-квартира ЄБРР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знаходиться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Лондоні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сьогодні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акціонерами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ЄБРР є 71 </w:t>
      </w:r>
      <w:proofErr w:type="spellStart"/>
      <w:proofErr w:type="gram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країна</w:t>
      </w:r>
      <w:proofErr w:type="spellEnd"/>
      <w:proofErr w:type="gram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Європейський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Союз та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Європейський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інвестиційний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банк. Структура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керівних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органів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ЄБРР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включає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президента, раду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керуючих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виконавчий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 - раду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директорів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</w:t>
      </w:r>
      <w:proofErr w:type="gram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spellEnd"/>
      <w:proofErr w:type="gram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членом ЄБРР з 13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серпня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1992 року.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Постійне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представництво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ЄБРР в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Києві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функціонує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1993 року.</w:t>
      </w:r>
    </w:p>
    <w:p w:rsidR="00EB6EF5" w:rsidRPr="00EB6EF5" w:rsidRDefault="00EB6EF5" w:rsidP="0089340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ЄБРР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працює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proofErr w:type="gram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комерційних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засадах. Банк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надає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виключно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цільові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приватним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державним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структурам на потреби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економіки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окрім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оборонної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тютюнової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промисловості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проектів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грального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бізнесу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proofErr w:type="gram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Кр</w:t>
      </w:r>
      <w:proofErr w:type="gram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ім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цільових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кредитів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ЄБРР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інвестиції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надає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технічну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допомогу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консультації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банкірів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менеджерів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допомога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системи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розподілу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продовольства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Спеціальних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технічної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ЄБРР не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залучає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тому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створених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країнах</w:t>
      </w:r>
      <w:proofErr w:type="spellEnd"/>
      <w:proofErr w:type="gram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ЄС</w:t>
      </w:r>
      <w:proofErr w:type="gram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спеціальних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фондів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6EF5" w:rsidRPr="00EB6EF5" w:rsidRDefault="00EB6EF5" w:rsidP="0089340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листопаді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року Рада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директорів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ЄБРР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ухвалила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Рахунку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міжнародного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співробітництва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Чорнобиля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нового фонду –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подолання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викликів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ще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залишаються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Чорнобильській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належного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досягнутих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рамках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Чорнобильського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фонду «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Укриття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новий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безпечний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конфайнмент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та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Рахунку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ядерної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сховище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відпрацьованого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ядерного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палива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завод з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переробки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ідких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радіоактивних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відходів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). </w:t>
      </w:r>
    </w:p>
    <w:p w:rsidR="00EB6EF5" w:rsidRPr="00EB6EF5" w:rsidRDefault="00EB6EF5" w:rsidP="0089340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ЄБРР є одним з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найбільших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інституційних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кредиторів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Станом на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кінець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року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сукупний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обсяг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виділеного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Банком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становить 18,1 млрд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євро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529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проектів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Частка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приватного сектору в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українському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портфоліо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складає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39%.</w:t>
      </w:r>
    </w:p>
    <w:p w:rsidR="00EB6EF5" w:rsidRPr="00EB6EF5" w:rsidRDefault="00EB6EF5" w:rsidP="0089340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року ЄБРР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оголосив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початковий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«пакет </w:t>
      </w:r>
      <w:proofErr w:type="spellStart"/>
      <w:proofErr w:type="gram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ійкості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у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млрд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євро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громадянам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компаніям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країнам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зазнали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впливу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війни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ідтримка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українських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компаній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передбачена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зокрема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відстрочених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кредитів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ліквідності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торговельного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компаніям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надаватися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допомога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релокації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продовження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країн-сусідів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зв’язку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приїздом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біженців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пом’якшення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наслідків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ійни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санкцій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їхнього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енергетичного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сектору,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підтримання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ліквідності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малого та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середнього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бізнесу</w:t>
      </w:r>
      <w:proofErr w:type="spellEnd"/>
      <w:r w:rsidRPr="00EB6E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6EF5" w:rsidRPr="00893406" w:rsidRDefault="00EB6EF5" w:rsidP="0089340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6EF5" w:rsidRPr="00893406" w:rsidRDefault="00EB6EF5" w:rsidP="0089340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EB6EF5" w:rsidRPr="00893406" w:rsidSect="005551E1">
      <w:pgSz w:w="11910" w:h="16840"/>
      <w:pgMar w:top="1134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20398"/>
    <w:multiLevelType w:val="hybridMultilevel"/>
    <w:tmpl w:val="CDD05C28"/>
    <w:lvl w:ilvl="0" w:tplc="4D8C65C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C66BE1"/>
    <w:multiLevelType w:val="hybridMultilevel"/>
    <w:tmpl w:val="AB86B28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38F14710"/>
    <w:multiLevelType w:val="hybridMultilevel"/>
    <w:tmpl w:val="F0B4D536"/>
    <w:lvl w:ilvl="0" w:tplc="D6004BC8">
      <w:start w:val="1"/>
      <w:numFmt w:val="bullet"/>
      <w:lvlText w:val=""/>
      <w:lvlJc w:val="left"/>
      <w:pPr>
        <w:tabs>
          <w:tab w:val="num" w:pos="1280"/>
        </w:tabs>
        <w:ind w:left="1223" w:hanging="283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020" w:hanging="360"/>
      </w:pPr>
      <w:rPr>
        <w:rFonts w:ascii="Wingdings" w:hAnsi="Wingdings" w:hint="default"/>
      </w:rPr>
    </w:lvl>
    <w:lvl w:ilvl="2" w:tplc="D6004BC8">
      <w:start w:val="1"/>
      <w:numFmt w:val="bullet"/>
      <w:lvlText w:val=""/>
      <w:lvlJc w:val="left"/>
      <w:pPr>
        <w:tabs>
          <w:tab w:val="num" w:pos="3700"/>
        </w:tabs>
        <w:ind w:left="3643" w:hanging="283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3">
    <w:nsid w:val="3F805976"/>
    <w:multiLevelType w:val="multilevel"/>
    <w:tmpl w:val="B468B0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4E3455E9"/>
    <w:multiLevelType w:val="multilevel"/>
    <w:tmpl w:val="413AE1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AAA6E31"/>
    <w:multiLevelType w:val="hybridMultilevel"/>
    <w:tmpl w:val="364EB39C"/>
    <w:lvl w:ilvl="0" w:tplc="04190001">
      <w:start w:val="1"/>
      <w:numFmt w:val="bullet"/>
      <w:lvlText w:val=""/>
      <w:lvlJc w:val="left"/>
      <w:pPr>
        <w:ind w:left="-3342" w:hanging="360"/>
      </w:pPr>
      <w:rPr>
        <w:rFonts w:ascii="Symbol" w:hAnsi="Symbol" w:hint="default"/>
      </w:rPr>
    </w:lvl>
    <w:lvl w:ilvl="1" w:tplc="4192E16A">
      <w:start w:val="1"/>
      <w:numFmt w:val="bullet"/>
      <w:lvlText w:val=""/>
      <w:lvlJc w:val="left"/>
      <w:pPr>
        <w:tabs>
          <w:tab w:val="num" w:pos="-1658"/>
        </w:tabs>
        <w:ind w:left="-1658" w:hanging="284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-1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11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</w:abstractNum>
  <w:abstractNum w:abstractNumId="6">
    <w:nsid w:val="679176BB"/>
    <w:multiLevelType w:val="hybridMultilevel"/>
    <w:tmpl w:val="1E4E10D6"/>
    <w:lvl w:ilvl="0" w:tplc="A45CF66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bCs w:val="0"/>
        <w:i w:val="0"/>
        <w:iCs w:val="0"/>
      </w:rPr>
    </w:lvl>
    <w:lvl w:ilvl="1" w:tplc="4D8C65CA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b w:val="0"/>
        <w:bCs w:val="0"/>
        <w:i w:val="0"/>
        <w:iCs w:val="0"/>
        <w:color w:val="auto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>
    <w:nsid w:val="6EB45178"/>
    <w:multiLevelType w:val="hybridMultilevel"/>
    <w:tmpl w:val="54360A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C2A"/>
    <w:rsid w:val="005551E1"/>
    <w:rsid w:val="005E642A"/>
    <w:rsid w:val="005F7C2A"/>
    <w:rsid w:val="006B31CB"/>
    <w:rsid w:val="00893406"/>
    <w:rsid w:val="00A23264"/>
    <w:rsid w:val="00B26020"/>
    <w:rsid w:val="00EB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C2A"/>
    <w:rPr>
      <w:rFonts w:ascii="Calibri" w:eastAsia="Calibri" w:hAnsi="Calibri" w:cs="Calibri"/>
    </w:rPr>
  </w:style>
  <w:style w:type="paragraph" w:styleId="4">
    <w:name w:val="heading 4"/>
    <w:basedOn w:val="a"/>
    <w:link w:val="40"/>
    <w:uiPriority w:val="9"/>
    <w:qFormat/>
    <w:rsid w:val="00EB6E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5F7C2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30">
    <w:name w:val="Основной текст с отступом 3 Знак"/>
    <w:basedOn w:val="a0"/>
    <w:link w:val="3"/>
    <w:rsid w:val="005F7C2A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3">
    <w:name w:val="Body Text"/>
    <w:basedOn w:val="a"/>
    <w:link w:val="a4"/>
    <w:rsid w:val="005F7C2A"/>
    <w:pPr>
      <w:spacing w:after="120"/>
    </w:pPr>
  </w:style>
  <w:style w:type="character" w:customStyle="1" w:styleId="a4">
    <w:name w:val="Основной текст Знак"/>
    <w:basedOn w:val="a0"/>
    <w:link w:val="a3"/>
    <w:rsid w:val="005F7C2A"/>
    <w:rPr>
      <w:rFonts w:ascii="Calibri" w:eastAsia="Calibri" w:hAnsi="Calibri" w:cs="Calibri"/>
    </w:rPr>
  </w:style>
  <w:style w:type="paragraph" w:styleId="a5">
    <w:name w:val="Normal (Web)"/>
    <w:basedOn w:val="a"/>
    <w:uiPriority w:val="99"/>
    <w:rsid w:val="005F7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rsid w:val="00EB6E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B6EF5"/>
    <w:rPr>
      <w:b/>
      <w:bCs/>
    </w:rPr>
  </w:style>
  <w:style w:type="character" w:styleId="a7">
    <w:name w:val="Hyperlink"/>
    <w:basedOn w:val="a0"/>
    <w:uiPriority w:val="99"/>
    <w:semiHidden/>
    <w:unhideWhenUsed/>
    <w:rsid w:val="00EB6EF5"/>
    <w:rPr>
      <w:color w:val="0000FF"/>
      <w:u w:val="single"/>
    </w:rPr>
  </w:style>
  <w:style w:type="character" w:styleId="a8">
    <w:name w:val="Emphasis"/>
    <w:basedOn w:val="a0"/>
    <w:uiPriority w:val="20"/>
    <w:qFormat/>
    <w:rsid w:val="00EB6EF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C2A"/>
    <w:rPr>
      <w:rFonts w:ascii="Calibri" w:eastAsia="Calibri" w:hAnsi="Calibri" w:cs="Calibri"/>
    </w:rPr>
  </w:style>
  <w:style w:type="paragraph" w:styleId="4">
    <w:name w:val="heading 4"/>
    <w:basedOn w:val="a"/>
    <w:link w:val="40"/>
    <w:uiPriority w:val="9"/>
    <w:qFormat/>
    <w:rsid w:val="00EB6E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5F7C2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30">
    <w:name w:val="Основной текст с отступом 3 Знак"/>
    <w:basedOn w:val="a0"/>
    <w:link w:val="3"/>
    <w:rsid w:val="005F7C2A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3">
    <w:name w:val="Body Text"/>
    <w:basedOn w:val="a"/>
    <w:link w:val="a4"/>
    <w:rsid w:val="005F7C2A"/>
    <w:pPr>
      <w:spacing w:after="120"/>
    </w:pPr>
  </w:style>
  <w:style w:type="character" w:customStyle="1" w:styleId="a4">
    <w:name w:val="Основной текст Знак"/>
    <w:basedOn w:val="a0"/>
    <w:link w:val="a3"/>
    <w:rsid w:val="005F7C2A"/>
    <w:rPr>
      <w:rFonts w:ascii="Calibri" w:eastAsia="Calibri" w:hAnsi="Calibri" w:cs="Calibri"/>
    </w:rPr>
  </w:style>
  <w:style w:type="paragraph" w:styleId="a5">
    <w:name w:val="Normal (Web)"/>
    <w:basedOn w:val="a"/>
    <w:uiPriority w:val="99"/>
    <w:rsid w:val="005F7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rsid w:val="00EB6E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B6EF5"/>
    <w:rPr>
      <w:b/>
      <w:bCs/>
    </w:rPr>
  </w:style>
  <w:style w:type="character" w:styleId="a7">
    <w:name w:val="Hyperlink"/>
    <w:basedOn w:val="a0"/>
    <w:uiPriority w:val="99"/>
    <w:semiHidden/>
    <w:unhideWhenUsed/>
    <w:rsid w:val="00EB6EF5"/>
    <w:rPr>
      <w:color w:val="0000FF"/>
      <w:u w:val="single"/>
    </w:rPr>
  </w:style>
  <w:style w:type="character" w:styleId="a8">
    <w:name w:val="Emphasis"/>
    <w:basedOn w:val="a0"/>
    <w:uiPriority w:val="20"/>
    <w:qFormat/>
    <w:rsid w:val="00EB6E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402-1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</dc:creator>
  <cp:lastModifiedBy>Семен</cp:lastModifiedBy>
  <cp:revision>3</cp:revision>
  <dcterms:created xsi:type="dcterms:W3CDTF">2025-04-14T19:06:00Z</dcterms:created>
  <dcterms:modified xsi:type="dcterms:W3CDTF">2025-04-14T19:06:00Z</dcterms:modified>
</cp:coreProperties>
</file>