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19B" w:rsidRPr="00D054B8" w:rsidRDefault="00E4719B" w:rsidP="00662EE3">
      <w:pPr>
        <w:spacing w:after="0" w:line="240" w:lineRule="auto"/>
        <w:jc w:val="center"/>
        <w:outlineLvl w:val="0"/>
        <w:rPr>
          <w:rFonts w:ascii="Times New Roman" w:hAnsi="Times New Roman"/>
          <w:bCs/>
          <w:kern w:val="36"/>
          <w:sz w:val="28"/>
          <w:szCs w:val="28"/>
          <w:lang w:val="uk-UA" w:eastAsia="ru-RU"/>
        </w:rPr>
      </w:pPr>
      <w:r w:rsidRPr="00D054B8">
        <w:rPr>
          <w:rFonts w:ascii="Times New Roman" w:hAnsi="Times New Roman"/>
          <w:bCs/>
          <w:kern w:val="36"/>
          <w:sz w:val="28"/>
          <w:szCs w:val="28"/>
          <w:lang w:val="uk-UA" w:eastAsia="ru-RU"/>
        </w:rPr>
        <w:t>ЗАКОНОДАВЧЕ ТА НОРМАТИВНО-ПРАВОВЕ РЕГУЛЮВАННЯ У ГАЛУЗІ ОХОРОНИ ДОВКІЛЛЯ</w:t>
      </w:r>
    </w:p>
    <w:p w:rsidR="00E4719B" w:rsidRPr="00D054B8" w:rsidRDefault="00E4719B" w:rsidP="00D054B8">
      <w:pPr>
        <w:tabs>
          <w:tab w:val="left" w:pos="2237"/>
        </w:tabs>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ab/>
      </w:r>
    </w:p>
    <w:p w:rsidR="00E4719B" w:rsidRPr="00D054B8" w:rsidRDefault="00E4719B" w:rsidP="00CC24E4">
      <w:pPr>
        <w:spacing w:after="0" w:line="240" w:lineRule="auto"/>
        <w:jc w:val="center"/>
        <w:rPr>
          <w:rFonts w:ascii="Times New Roman" w:hAnsi="Times New Roman"/>
          <w:sz w:val="28"/>
          <w:szCs w:val="28"/>
          <w:lang w:val="uk-UA" w:eastAsia="ru-RU"/>
        </w:rPr>
      </w:pPr>
      <w:r w:rsidRPr="00D054B8">
        <w:rPr>
          <w:rFonts w:ascii="Times New Roman" w:hAnsi="Times New Roman"/>
          <w:sz w:val="28"/>
          <w:szCs w:val="28"/>
          <w:lang w:val="uk-UA" w:eastAsia="ru-RU"/>
        </w:rPr>
        <w:t>ПЛАН</w:t>
      </w:r>
    </w:p>
    <w:p w:rsidR="00E4719B" w:rsidRPr="00D054B8" w:rsidRDefault="00E4719B" w:rsidP="00710C18">
      <w:pPr>
        <w:spacing w:after="0" w:line="240" w:lineRule="auto"/>
        <w:ind w:firstLine="708"/>
        <w:outlineLvl w:val="1"/>
        <w:rPr>
          <w:rFonts w:ascii="Times New Roman" w:hAnsi="Times New Roman"/>
          <w:bCs/>
          <w:sz w:val="28"/>
          <w:szCs w:val="28"/>
          <w:lang w:val="uk-UA" w:eastAsia="ru-RU"/>
        </w:rPr>
      </w:pPr>
      <w:bookmarkStart w:id="0" w:name="1"/>
      <w:bookmarkEnd w:id="0"/>
      <w:r w:rsidRPr="00D054B8">
        <w:rPr>
          <w:rFonts w:ascii="Times New Roman" w:hAnsi="Times New Roman"/>
          <w:bCs/>
          <w:sz w:val="28"/>
          <w:szCs w:val="28"/>
          <w:lang w:val="uk-UA"/>
        </w:rPr>
        <w:t>1.</w:t>
      </w:r>
      <w:r w:rsidRPr="00D054B8">
        <w:rPr>
          <w:rFonts w:ascii="Times New Roman" w:hAnsi="Times New Roman"/>
          <w:bCs/>
          <w:sz w:val="28"/>
          <w:szCs w:val="28"/>
          <w:lang w:val="uk-UA" w:eastAsia="ru-RU"/>
        </w:rPr>
        <w:t>Стан нормативної бази охорони природи</w:t>
      </w:r>
    </w:p>
    <w:p w:rsidR="00E4719B" w:rsidRPr="00D054B8" w:rsidRDefault="00E4719B" w:rsidP="000D3424">
      <w:pPr>
        <w:spacing w:after="0" w:line="240" w:lineRule="auto"/>
        <w:ind w:left="426"/>
        <w:jc w:val="both"/>
        <w:rPr>
          <w:rFonts w:ascii="Times New Roman" w:hAnsi="Times New Roman"/>
          <w:sz w:val="28"/>
          <w:szCs w:val="28"/>
          <w:lang w:val="uk-UA" w:eastAsia="ru-RU"/>
        </w:rPr>
      </w:pPr>
      <w:r w:rsidRPr="00D054B8">
        <w:rPr>
          <w:rFonts w:ascii="Times New Roman" w:hAnsi="Times New Roman"/>
          <w:bCs/>
          <w:sz w:val="28"/>
          <w:szCs w:val="28"/>
          <w:lang w:val="uk-UA" w:eastAsia="ru-RU"/>
        </w:rPr>
        <w:t>2.</w:t>
      </w:r>
      <w:r w:rsidRPr="00D054B8">
        <w:rPr>
          <w:rFonts w:ascii="Times New Roman" w:hAnsi="Times New Roman"/>
          <w:sz w:val="28"/>
          <w:szCs w:val="28"/>
          <w:lang w:val="uk-UA" w:eastAsia="ru-RU"/>
        </w:rPr>
        <w:t xml:space="preserve"> Критерії оцінки стану навколишнього середовища.</w:t>
      </w:r>
    </w:p>
    <w:p w:rsidR="00E4719B" w:rsidRPr="00D054B8" w:rsidRDefault="00E4719B" w:rsidP="005C00E3">
      <w:pPr>
        <w:ind w:left="426"/>
        <w:rPr>
          <w:rFonts w:ascii="Times New Roman" w:hAnsi="Times New Roman"/>
          <w:sz w:val="28"/>
          <w:szCs w:val="28"/>
          <w:lang w:val="uk-UA" w:eastAsia="ru-RU"/>
        </w:rPr>
      </w:pPr>
      <w:r w:rsidRPr="00D054B8">
        <w:rPr>
          <w:rFonts w:ascii="Times New Roman" w:hAnsi="Times New Roman"/>
          <w:sz w:val="28"/>
          <w:szCs w:val="28"/>
          <w:lang w:val="uk-UA" w:eastAsia="ru-RU"/>
        </w:rPr>
        <w:t>3.</w:t>
      </w:r>
      <w:r w:rsidRPr="00D054B8">
        <w:rPr>
          <w:rFonts w:ascii="Times New Roman" w:hAnsi="Times New Roman"/>
          <w:sz w:val="28"/>
          <w:szCs w:val="28"/>
          <w:lang w:val="uk-UA" w:eastAsia="ru-RU"/>
        </w:rPr>
        <w:tab/>
        <w:t>Міжнародні та національні програми по охороні навколишнього середовища.</w:t>
      </w:r>
    </w:p>
    <w:p w:rsidR="00E4719B" w:rsidRPr="00D054B8" w:rsidRDefault="00E4719B" w:rsidP="00195060">
      <w:pPr>
        <w:spacing w:after="0" w:line="240" w:lineRule="auto"/>
        <w:ind w:firstLine="708"/>
        <w:outlineLvl w:val="1"/>
        <w:rPr>
          <w:rFonts w:ascii="Times New Roman" w:hAnsi="Times New Roman"/>
          <w:bCs/>
          <w:sz w:val="28"/>
          <w:szCs w:val="28"/>
          <w:lang w:val="uk-UA" w:eastAsia="ru-RU"/>
        </w:rPr>
      </w:pPr>
      <w:r w:rsidRPr="00D054B8">
        <w:rPr>
          <w:rFonts w:ascii="Times New Roman" w:hAnsi="Times New Roman"/>
          <w:bCs/>
          <w:sz w:val="28"/>
          <w:szCs w:val="28"/>
          <w:lang w:val="uk-UA"/>
        </w:rPr>
        <w:t>1.</w:t>
      </w:r>
      <w:r w:rsidRPr="00D054B8">
        <w:rPr>
          <w:rFonts w:ascii="Times New Roman" w:hAnsi="Times New Roman"/>
          <w:bCs/>
          <w:sz w:val="28"/>
          <w:szCs w:val="28"/>
          <w:lang w:val="uk-UA" w:eastAsia="ru-RU"/>
        </w:rPr>
        <w:t>Стан нормативної бази охорони природи</w:t>
      </w:r>
    </w:p>
    <w:p w:rsidR="00E4719B" w:rsidRPr="00D054B8" w:rsidRDefault="00E4719B" w:rsidP="00F85F35">
      <w:pPr>
        <w:pStyle w:val="NormalWeb"/>
        <w:spacing w:before="0" w:beforeAutospacing="0" w:after="0" w:afterAutospacing="0"/>
        <w:jc w:val="center"/>
        <w:rPr>
          <w:sz w:val="28"/>
          <w:szCs w:val="28"/>
          <w:lang w:val="uk-UA"/>
        </w:rPr>
      </w:pPr>
    </w:p>
    <w:p w:rsidR="00E4719B" w:rsidRPr="00D054B8" w:rsidRDefault="00E4719B" w:rsidP="00710C18">
      <w:pPr>
        <w:pStyle w:val="NormalWeb"/>
        <w:spacing w:before="0" w:beforeAutospacing="0" w:after="0" w:afterAutospacing="0"/>
        <w:jc w:val="both"/>
        <w:rPr>
          <w:sz w:val="28"/>
          <w:szCs w:val="28"/>
          <w:lang w:val="uk-UA"/>
        </w:rPr>
      </w:pPr>
      <w:r w:rsidRPr="00D054B8">
        <w:rPr>
          <w:sz w:val="28"/>
          <w:szCs w:val="28"/>
          <w:lang w:val="uk-UA"/>
        </w:rPr>
        <w:t>1.1.Класифікація державних стандартів.</w:t>
      </w:r>
    </w:p>
    <w:p w:rsidR="00E4719B" w:rsidRPr="00D054B8" w:rsidRDefault="00E4719B" w:rsidP="00710C18">
      <w:pPr>
        <w:pStyle w:val="NormalWeb"/>
        <w:spacing w:before="0" w:beforeAutospacing="0" w:after="0" w:afterAutospacing="0"/>
        <w:jc w:val="both"/>
        <w:rPr>
          <w:sz w:val="28"/>
          <w:szCs w:val="28"/>
          <w:lang w:val="uk-UA"/>
        </w:rPr>
      </w:pPr>
      <w:r w:rsidRPr="00D054B8">
        <w:rPr>
          <w:sz w:val="28"/>
          <w:szCs w:val="28"/>
          <w:lang w:val="uk-UA"/>
        </w:rPr>
        <w:t>Сучасний стан довкілля свідчить про те, що проблеми навколишнього середовища обумовлені двома основними чинниками:</w:t>
      </w:r>
    </w:p>
    <w:p w:rsidR="00E4719B" w:rsidRPr="00D054B8" w:rsidRDefault="00E4719B" w:rsidP="00F85F35">
      <w:pPr>
        <w:pStyle w:val="NormalWeb"/>
        <w:numPr>
          <w:ilvl w:val="0"/>
          <w:numId w:val="4"/>
        </w:numPr>
        <w:spacing w:before="0" w:beforeAutospacing="0" w:after="0" w:afterAutospacing="0"/>
        <w:jc w:val="both"/>
        <w:rPr>
          <w:sz w:val="28"/>
          <w:szCs w:val="28"/>
          <w:lang w:val="uk-UA"/>
        </w:rPr>
      </w:pPr>
      <w:r w:rsidRPr="00D054B8">
        <w:rPr>
          <w:sz w:val="28"/>
          <w:szCs w:val="28"/>
          <w:lang w:val="uk-UA"/>
        </w:rPr>
        <w:t xml:space="preserve">марнотратним використанням природних ресурсів, яке знижує продуктивність біосфери, </w:t>
      </w:r>
    </w:p>
    <w:p w:rsidR="00E4719B" w:rsidRPr="00D054B8" w:rsidRDefault="00E4719B" w:rsidP="00F85F35">
      <w:pPr>
        <w:pStyle w:val="NormalWeb"/>
        <w:numPr>
          <w:ilvl w:val="0"/>
          <w:numId w:val="4"/>
        </w:numPr>
        <w:spacing w:before="0" w:beforeAutospacing="0" w:after="0" w:afterAutospacing="0"/>
        <w:jc w:val="both"/>
        <w:rPr>
          <w:sz w:val="28"/>
          <w:szCs w:val="28"/>
          <w:lang w:val="uk-UA"/>
        </w:rPr>
      </w:pPr>
      <w:r w:rsidRPr="00D054B8">
        <w:rPr>
          <w:sz w:val="28"/>
          <w:szCs w:val="28"/>
          <w:lang w:val="uk-UA"/>
        </w:rPr>
        <w:t xml:space="preserve"> забрудненням, яке загрожує всьому живому, в першу чергу благополуччю людини і її здоров'ю.</w:t>
      </w:r>
    </w:p>
    <w:p w:rsidR="00E4719B" w:rsidRPr="00D054B8" w:rsidRDefault="00E4719B" w:rsidP="00F85F35">
      <w:pPr>
        <w:pStyle w:val="NormalWeb"/>
        <w:spacing w:before="0" w:beforeAutospacing="0" w:after="0" w:afterAutospacing="0"/>
        <w:ind w:firstLine="708"/>
        <w:jc w:val="both"/>
        <w:rPr>
          <w:sz w:val="28"/>
          <w:szCs w:val="28"/>
          <w:lang w:val="uk-UA"/>
        </w:rPr>
      </w:pPr>
    </w:p>
    <w:p w:rsidR="00E4719B" w:rsidRPr="00D054B8" w:rsidRDefault="00E4719B" w:rsidP="00F85F35">
      <w:pPr>
        <w:pStyle w:val="NormalWeb"/>
        <w:spacing w:before="0" w:beforeAutospacing="0" w:after="0" w:afterAutospacing="0"/>
        <w:ind w:firstLine="708"/>
        <w:jc w:val="both"/>
        <w:rPr>
          <w:sz w:val="28"/>
          <w:szCs w:val="28"/>
          <w:lang w:val="uk-UA"/>
        </w:rPr>
      </w:pPr>
      <w:r w:rsidRPr="00D054B8">
        <w:rPr>
          <w:sz w:val="28"/>
          <w:szCs w:val="28"/>
          <w:lang w:val="uk-UA"/>
        </w:rPr>
        <w:t>Мірою поєднання екологічних інтересів в здоровому і сприятливому для життя природному середовищі з економічними інтересами суспільного прогресу є Закон України “Про охорону природного довкілля” називає визначені стандарти і нормативи.</w:t>
      </w:r>
    </w:p>
    <w:p w:rsidR="00E4719B" w:rsidRPr="00D054B8" w:rsidRDefault="00E4719B" w:rsidP="00756F47">
      <w:pPr>
        <w:pStyle w:val="NormalWeb"/>
        <w:spacing w:before="0" w:beforeAutospacing="0" w:after="0" w:afterAutospacing="0"/>
        <w:ind w:firstLine="708"/>
        <w:jc w:val="both"/>
        <w:rPr>
          <w:i/>
          <w:iCs/>
          <w:sz w:val="28"/>
          <w:szCs w:val="28"/>
          <w:lang w:val="uk-UA"/>
        </w:rPr>
      </w:pPr>
    </w:p>
    <w:p w:rsidR="00E4719B" w:rsidRPr="00D054B8" w:rsidRDefault="00E4719B" w:rsidP="00756F47">
      <w:pPr>
        <w:pStyle w:val="NormalWeb"/>
        <w:spacing w:before="0" w:beforeAutospacing="0" w:after="0" w:afterAutospacing="0"/>
        <w:ind w:firstLine="708"/>
        <w:jc w:val="both"/>
        <w:rPr>
          <w:sz w:val="28"/>
          <w:szCs w:val="28"/>
          <w:lang w:val="uk-UA"/>
        </w:rPr>
      </w:pPr>
      <w:r w:rsidRPr="00D054B8">
        <w:rPr>
          <w:i/>
          <w:iCs/>
          <w:sz w:val="28"/>
          <w:szCs w:val="28"/>
          <w:lang w:val="uk-UA"/>
        </w:rPr>
        <w:t>Стандартизацією</w:t>
      </w:r>
      <w:r w:rsidRPr="00D054B8">
        <w:rPr>
          <w:sz w:val="28"/>
          <w:szCs w:val="28"/>
          <w:lang w:val="uk-UA"/>
        </w:rPr>
        <w:t xml:space="preserve"> є діяльність, що полягає в установленні положень для загального і багаторазового застосування щодо наявних чи можливих завдань з метою досягнення оптимального ступеня впо</w:t>
      </w:r>
      <w:r w:rsidRPr="00D054B8">
        <w:rPr>
          <w:sz w:val="28"/>
          <w:szCs w:val="28"/>
          <w:lang w:val="uk-UA"/>
        </w:rPr>
        <w:softHyphen/>
        <w:t>рядкування у певній сфері, результатом якої є підвищення ступеня відповідності продукції, процесів та послуг їх функціональному при</w:t>
      </w:r>
      <w:r w:rsidRPr="00D054B8">
        <w:rPr>
          <w:sz w:val="28"/>
          <w:szCs w:val="28"/>
          <w:lang w:val="uk-UA"/>
        </w:rPr>
        <w:softHyphen/>
        <w:t>значенню, усуненню бар'єрів у торгівлі і сприянню науково-технічному співробітництву.</w:t>
      </w:r>
    </w:p>
    <w:p w:rsidR="00E4719B" w:rsidRPr="00D054B8" w:rsidRDefault="00E4719B" w:rsidP="005C00E3">
      <w:pPr>
        <w:pStyle w:val="NormalWeb"/>
        <w:spacing w:before="0" w:beforeAutospacing="0" w:after="0" w:afterAutospacing="0"/>
        <w:ind w:firstLine="708"/>
        <w:jc w:val="both"/>
        <w:rPr>
          <w:sz w:val="28"/>
          <w:szCs w:val="28"/>
        </w:rPr>
      </w:pPr>
      <w:r w:rsidRPr="00D054B8">
        <w:rPr>
          <w:sz w:val="28"/>
          <w:szCs w:val="28"/>
          <w:lang w:val="uk-UA"/>
        </w:rPr>
        <w:t>Стандарт докумен</w:t>
      </w:r>
      <w:r w:rsidRPr="00D054B8">
        <w:rPr>
          <w:sz w:val="28"/>
          <w:szCs w:val="28"/>
          <w:lang w:val="uk-UA"/>
        </w:rPr>
        <w:softHyphen/>
        <w:t>ти, розроблені на основі консенсусу та затверджені уповноваженим органом, що встановлюють призначені для загального і багаторазово</w:t>
      </w:r>
      <w:r w:rsidRPr="00D054B8">
        <w:rPr>
          <w:sz w:val="28"/>
          <w:szCs w:val="28"/>
          <w:lang w:val="uk-UA"/>
        </w:rPr>
        <w:softHyphen/>
        <w:t>го використання правила, інструкції або характеристики, які стосу</w:t>
      </w:r>
      <w:r w:rsidRPr="00D054B8">
        <w:rPr>
          <w:sz w:val="28"/>
          <w:szCs w:val="28"/>
          <w:lang w:val="uk-UA"/>
        </w:rPr>
        <w:softHyphen/>
        <w:t>ються діяльності чи її результатів, включаючи продукцію, процеси або послуги, дотримання яких є необов'язковим. Стандарт може містити вимоги до термінології, позначок, пакування, маркування чи етикетування, які застосовуються до певної продукції, процесу чи по</w:t>
      </w:r>
      <w:r w:rsidRPr="00D054B8">
        <w:rPr>
          <w:sz w:val="28"/>
          <w:szCs w:val="28"/>
          <w:lang w:val="uk-UA"/>
        </w:rPr>
        <w:softHyphen/>
        <w:t>слуги.</w:t>
      </w:r>
    </w:p>
    <w:p w:rsidR="00E4719B" w:rsidRPr="00D054B8" w:rsidRDefault="00E4719B" w:rsidP="00710C18">
      <w:pPr>
        <w:pStyle w:val="NormalWeb"/>
        <w:spacing w:before="0" w:beforeAutospacing="0" w:after="0" w:afterAutospacing="0"/>
        <w:ind w:firstLine="708"/>
        <w:jc w:val="both"/>
        <w:rPr>
          <w:sz w:val="28"/>
          <w:szCs w:val="28"/>
        </w:rPr>
      </w:pPr>
    </w:p>
    <w:p w:rsidR="00E4719B" w:rsidRPr="00D054B8" w:rsidRDefault="00E4719B" w:rsidP="00710C18">
      <w:pPr>
        <w:pStyle w:val="NormalWeb"/>
        <w:spacing w:before="0" w:beforeAutospacing="0" w:after="0" w:afterAutospacing="0"/>
        <w:ind w:firstLine="708"/>
        <w:jc w:val="both"/>
        <w:rPr>
          <w:sz w:val="28"/>
          <w:szCs w:val="28"/>
          <w:lang w:val="uk-UA"/>
        </w:rPr>
      </w:pPr>
      <w:r w:rsidRPr="00D054B8">
        <w:rPr>
          <w:sz w:val="28"/>
          <w:szCs w:val="28"/>
          <w:lang w:val="uk-UA"/>
        </w:rPr>
        <w:t>Правила вживання стандартів на території України встановлює Державний комітет України із стандартизації, метрології і сертифікації. Розроблення, затвердження, перегляд, скасування стандартів, організація їх виконання та контроль за дотриманням покладається в Україні на Державний комітет з питань технічного ре</w:t>
      </w:r>
      <w:r w:rsidRPr="00D054B8">
        <w:rPr>
          <w:sz w:val="28"/>
          <w:szCs w:val="28"/>
          <w:lang w:val="uk-UA"/>
        </w:rPr>
        <w:softHyphen/>
        <w:t>гулювання та споживчої політики. Участь у відповідній діяльності на різних стадіях беруть також інші спеціально уповноважені органи ви</w:t>
      </w:r>
      <w:r w:rsidRPr="00D054B8">
        <w:rPr>
          <w:sz w:val="28"/>
          <w:szCs w:val="28"/>
          <w:lang w:val="uk-UA"/>
        </w:rPr>
        <w:softHyphen/>
        <w:t>конавчої влади та органи місцевого самоврядування (в першу чергу Мінприроди та МОЗ України).</w:t>
      </w:r>
    </w:p>
    <w:p w:rsidR="00E4719B" w:rsidRPr="00D054B8" w:rsidRDefault="00E4719B" w:rsidP="004F4678">
      <w:pPr>
        <w:spacing w:after="0" w:line="240" w:lineRule="auto"/>
        <w:ind w:firstLine="708"/>
        <w:jc w:val="both"/>
        <w:rPr>
          <w:rFonts w:ascii="Times New Roman" w:hAnsi="Times New Roman"/>
          <w:sz w:val="28"/>
          <w:szCs w:val="28"/>
          <w:lang w:val="uk-UA" w:eastAsia="ru-RU"/>
        </w:rPr>
      </w:pPr>
      <w:r w:rsidRPr="00D054B8">
        <w:rPr>
          <w:rFonts w:ascii="Times New Roman" w:hAnsi="Times New Roman"/>
          <w:sz w:val="28"/>
          <w:szCs w:val="28"/>
          <w:lang w:val="uk-UA"/>
        </w:rPr>
        <w:t>Виконання екологічних стандартів є обов'язковим і охороняється чинним законодавством.</w:t>
      </w:r>
    </w:p>
    <w:p w:rsidR="00E4719B" w:rsidRPr="00D054B8" w:rsidRDefault="00E4719B" w:rsidP="00F85F35">
      <w:pPr>
        <w:pStyle w:val="NormalWeb"/>
        <w:spacing w:before="0" w:beforeAutospacing="0" w:after="0" w:afterAutospacing="0"/>
        <w:ind w:firstLine="708"/>
        <w:jc w:val="both"/>
        <w:rPr>
          <w:sz w:val="28"/>
          <w:szCs w:val="28"/>
          <w:lang w:val="uk-UA"/>
        </w:rPr>
      </w:pPr>
      <w:r w:rsidRPr="00D054B8">
        <w:rPr>
          <w:sz w:val="28"/>
          <w:szCs w:val="28"/>
          <w:lang w:val="uk-UA"/>
        </w:rPr>
        <w:t xml:space="preserve">Мета стандартизації і нормування - це встановлення комплексу обов'язкових норм, правил, вимог по охороні природного Довкілля, використанню природних ресурсів і забезпеченню екологічної безпеки </w:t>
      </w:r>
    </w:p>
    <w:p w:rsidR="00E4719B" w:rsidRPr="00D054B8" w:rsidRDefault="00E4719B" w:rsidP="00F85F35">
      <w:pPr>
        <w:pStyle w:val="NormalWeb"/>
        <w:spacing w:before="0" w:beforeAutospacing="0" w:after="0" w:afterAutospacing="0"/>
        <w:ind w:firstLine="708"/>
        <w:jc w:val="both"/>
        <w:rPr>
          <w:sz w:val="28"/>
          <w:szCs w:val="28"/>
          <w:lang w:val="uk-UA"/>
        </w:rPr>
      </w:pPr>
      <w:r w:rsidRPr="00D054B8">
        <w:rPr>
          <w:sz w:val="28"/>
          <w:szCs w:val="28"/>
        </w:rPr>
        <w:t>Державні стандарти визначають поняття і терміни, режим використання і охорони природних ресурсів, методи контролю за станом природного довкілля, вимоги по запобіганню шкідлив</w:t>
      </w:r>
      <w:r w:rsidRPr="00D054B8">
        <w:rPr>
          <w:sz w:val="28"/>
          <w:szCs w:val="28"/>
          <w:lang w:val="uk-UA"/>
        </w:rPr>
        <w:t>ої</w:t>
      </w:r>
      <w:r w:rsidRPr="00D054B8">
        <w:rPr>
          <w:sz w:val="28"/>
          <w:szCs w:val="28"/>
        </w:rPr>
        <w:t xml:space="preserve"> дії забрудненого природного довкілля на здоров'</w:t>
      </w:r>
      <w:r w:rsidRPr="00D054B8">
        <w:rPr>
          <w:sz w:val="28"/>
          <w:szCs w:val="28"/>
          <w:lang w:val="uk-UA"/>
        </w:rPr>
        <w:t>я</w:t>
      </w:r>
      <w:r w:rsidRPr="00D054B8">
        <w:rPr>
          <w:sz w:val="28"/>
          <w:szCs w:val="28"/>
        </w:rPr>
        <w:t xml:space="preserve"> людей, інші питання, </w:t>
      </w:r>
      <w:r w:rsidRPr="00D054B8">
        <w:rPr>
          <w:sz w:val="28"/>
          <w:szCs w:val="28"/>
          <w:lang w:val="uk-UA"/>
        </w:rPr>
        <w:t>по</w:t>
      </w:r>
      <w:r w:rsidRPr="00D054B8">
        <w:rPr>
          <w:sz w:val="28"/>
          <w:szCs w:val="28"/>
        </w:rPr>
        <w:t>в'язані з охоронного природного довкілля і використанням природних ресурсів</w:t>
      </w:r>
      <w:r w:rsidRPr="00D054B8">
        <w:rPr>
          <w:sz w:val="28"/>
          <w:szCs w:val="28"/>
          <w:lang w:val="uk-UA"/>
        </w:rPr>
        <w:t>.</w:t>
      </w:r>
    </w:p>
    <w:p w:rsidR="00E4719B" w:rsidRPr="00D054B8" w:rsidRDefault="00E4719B" w:rsidP="00F85F35">
      <w:pPr>
        <w:pStyle w:val="NormalWeb"/>
        <w:spacing w:before="0" w:beforeAutospacing="0" w:after="0" w:afterAutospacing="0"/>
        <w:jc w:val="both"/>
        <w:rPr>
          <w:sz w:val="28"/>
          <w:szCs w:val="28"/>
        </w:rPr>
      </w:pPr>
      <w:r w:rsidRPr="00D054B8">
        <w:rPr>
          <w:sz w:val="28"/>
          <w:szCs w:val="28"/>
        </w:rPr>
        <w:t>Відповідно до Декрету Кабінету міністрів України “Про стандартизацію і сертифікацію”  нормативні документи по стандартизації діляться на:</w:t>
      </w:r>
    </w:p>
    <w:p w:rsidR="00E4719B" w:rsidRPr="00D054B8" w:rsidRDefault="00E4719B" w:rsidP="0097076E">
      <w:pPr>
        <w:pStyle w:val="NormalWeb"/>
        <w:spacing w:before="0" w:beforeAutospacing="0" w:after="0" w:afterAutospacing="0"/>
        <w:jc w:val="both"/>
        <w:rPr>
          <w:sz w:val="28"/>
          <w:szCs w:val="28"/>
          <w:lang w:val="uk-UA"/>
        </w:rPr>
      </w:pPr>
    </w:p>
    <w:p w:rsidR="00E4719B" w:rsidRPr="00D054B8" w:rsidRDefault="00E4719B" w:rsidP="0097076E">
      <w:pPr>
        <w:pStyle w:val="NormalWeb"/>
        <w:spacing w:before="0" w:beforeAutospacing="0" w:after="0" w:afterAutospacing="0"/>
        <w:jc w:val="both"/>
        <w:rPr>
          <w:sz w:val="28"/>
          <w:szCs w:val="28"/>
        </w:rPr>
      </w:pPr>
      <w:r w:rsidRPr="00D054B8">
        <w:rPr>
          <w:sz w:val="28"/>
          <w:szCs w:val="28"/>
        </w:rPr>
        <w:t xml:space="preserve"> </w:t>
      </w:r>
      <w:r w:rsidRPr="00D054B8">
        <w:rPr>
          <w:i/>
          <w:iCs/>
          <w:sz w:val="28"/>
          <w:szCs w:val="28"/>
        </w:rPr>
        <w:t>Державні стандарти України —ДСТУ.</w:t>
      </w:r>
    </w:p>
    <w:p w:rsidR="00E4719B" w:rsidRPr="00D054B8" w:rsidRDefault="00E4719B" w:rsidP="0097076E">
      <w:pPr>
        <w:pStyle w:val="NormalWeb"/>
        <w:spacing w:before="0" w:beforeAutospacing="0" w:after="0" w:afterAutospacing="0"/>
        <w:jc w:val="both"/>
        <w:rPr>
          <w:sz w:val="28"/>
          <w:szCs w:val="28"/>
        </w:rPr>
      </w:pPr>
      <w:r w:rsidRPr="00D054B8">
        <w:rPr>
          <w:sz w:val="28"/>
          <w:szCs w:val="28"/>
        </w:rPr>
        <w:t>Система таких стандартів, у тому числі у сфері охорони довкілля, почала розвиватись в Україні з 1992 року.</w:t>
      </w:r>
    </w:p>
    <w:p w:rsidR="00E4719B" w:rsidRPr="00D054B8" w:rsidRDefault="00E4719B" w:rsidP="0097076E">
      <w:pPr>
        <w:pStyle w:val="NormalWeb"/>
        <w:spacing w:before="0" w:beforeAutospacing="0" w:after="0" w:afterAutospacing="0"/>
        <w:jc w:val="both"/>
        <w:rPr>
          <w:sz w:val="28"/>
          <w:szCs w:val="28"/>
        </w:rPr>
      </w:pPr>
      <w:r w:rsidRPr="00D054B8">
        <w:rPr>
          <w:sz w:val="28"/>
          <w:szCs w:val="28"/>
        </w:rPr>
        <w:t>Відповідно до Державного класифікатора України «Український класифікатор нормативних документів ДК 004-2003», прийнятого на</w:t>
      </w:r>
      <w:r w:rsidRPr="00D054B8">
        <w:rPr>
          <w:sz w:val="28"/>
          <w:szCs w:val="28"/>
        </w:rPr>
        <w:softHyphen/>
        <w:t>казом Держспоживстандарту України від 7 квітня 2003 р. № 53, вста</w:t>
      </w:r>
      <w:r w:rsidRPr="00D054B8">
        <w:rPr>
          <w:sz w:val="28"/>
          <w:szCs w:val="28"/>
        </w:rPr>
        <w:softHyphen/>
        <w:t>новлено трирівневу класифі</w:t>
      </w:r>
      <w:r w:rsidRPr="00D054B8">
        <w:rPr>
          <w:sz w:val="28"/>
          <w:szCs w:val="28"/>
          <w:lang w:val="uk-UA"/>
        </w:rPr>
        <w:t>к</w:t>
      </w:r>
      <w:r w:rsidRPr="00D054B8">
        <w:rPr>
          <w:sz w:val="28"/>
          <w:szCs w:val="28"/>
        </w:rPr>
        <w:t>ацію ДСТУ: двозначний цифровий код класу стандартів, тризначний код групи і двозначний код підгрупи (кожен код відокремлюється крапкою). Відповідно до цієї кла</w:t>
      </w:r>
      <w:r w:rsidRPr="00D054B8">
        <w:rPr>
          <w:sz w:val="28"/>
          <w:szCs w:val="28"/>
        </w:rPr>
        <w:softHyphen/>
        <w:t>сифікації охорони довкілля стосуються, зокрема, такі групи і підгру</w:t>
      </w:r>
      <w:r w:rsidRPr="00D054B8">
        <w:rPr>
          <w:sz w:val="28"/>
          <w:szCs w:val="28"/>
        </w:rPr>
        <w:softHyphen/>
        <w:t>пи стандартів:</w:t>
      </w:r>
    </w:p>
    <w:p w:rsidR="00E4719B" w:rsidRPr="00D054B8" w:rsidRDefault="00E4719B" w:rsidP="0097076E">
      <w:pPr>
        <w:pStyle w:val="NormalWeb"/>
        <w:spacing w:before="0" w:beforeAutospacing="0" w:after="0" w:afterAutospacing="0"/>
        <w:rPr>
          <w:sz w:val="28"/>
          <w:szCs w:val="28"/>
          <w:lang w:val="uk-UA"/>
        </w:rPr>
      </w:pPr>
    </w:p>
    <w:p w:rsidR="00E4719B" w:rsidRPr="00D054B8" w:rsidRDefault="00E4719B" w:rsidP="0097076E">
      <w:pPr>
        <w:pStyle w:val="NormalWeb"/>
        <w:spacing w:before="0" w:beforeAutospacing="0" w:after="0" w:afterAutospacing="0"/>
        <w:rPr>
          <w:sz w:val="28"/>
          <w:szCs w:val="28"/>
        </w:rPr>
      </w:pPr>
      <w:r w:rsidRPr="00D054B8">
        <w:rPr>
          <w:sz w:val="28"/>
          <w:szCs w:val="28"/>
        </w:rPr>
        <w:t>01.040.13 Довкілля. Захист довкілля та здоров'я людини. Безпека (Словники)</w:t>
      </w:r>
    </w:p>
    <w:p w:rsidR="00E4719B" w:rsidRPr="00D054B8" w:rsidRDefault="00E4719B" w:rsidP="0097076E">
      <w:pPr>
        <w:pStyle w:val="NormalWeb"/>
        <w:spacing w:before="0" w:beforeAutospacing="0" w:after="0" w:afterAutospacing="0"/>
        <w:rPr>
          <w:sz w:val="28"/>
          <w:szCs w:val="28"/>
          <w:lang w:val="uk-UA"/>
        </w:rPr>
      </w:pPr>
      <w:r w:rsidRPr="00D054B8">
        <w:rPr>
          <w:sz w:val="28"/>
          <w:szCs w:val="28"/>
        </w:rPr>
        <w:t xml:space="preserve">Клас 13 охоплює проблематику «Довкілля. Захист довкілля та здоров'я людини. Безпека», а саме: </w:t>
      </w:r>
    </w:p>
    <w:p w:rsidR="00E4719B" w:rsidRPr="00D054B8" w:rsidRDefault="00E4719B" w:rsidP="0097076E">
      <w:pPr>
        <w:pStyle w:val="NormalWeb"/>
        <w:spacing w:before="0" w:beforeAutospacing="0" w:after="0" w:afterAutospacing="0"/>
        <w:rPr>
          <w:sz w:val="28"/>
          <w:szCs w:val="28"/>
          <w:lang w:val="uk-UA"/>
        </w:rPr>
      </w:pPr>
      <w:r w:rsidRPr="00D054B8">
        <w:rPr>
          <w:sz w:val="28"/>
          <w:szCs w:val="28"/>
          <w:lang w:val="uk-UA"/>
        </w:rPr>
        <w:t>13.020 Захист довкілля</w:t>
      </w:r>
    </w:p>
    <w:p w:rsidR="00E4719B" w:rsidRPr="00D054B8" w:rsidRDefault="00E4719B" w:rsidP="0097076E">
      <w:pPr>
        <w:pStyle w:val="NormalWeb"/>
        <w:spacing w:before="0" w:beforeAutospacing="0" w:after="0" w:afterAutospacing="0"/>
        <w:rPr>
          <w:sz w:val="28"/>
          <w:szCs w:val="28"/>
          <w:lang w:val="uk-UA"/>
        </w:rPr>
      </w:pPr>
      <w:r w:rsidRPr="00D054B8">
        <w:rPr>
          <w:sz w:val="28"/>
          <w:szCs w:val="28"/>
          <w:lang w:val="uk-UA"/>
        </w:rPr>
        <w:t>13.020.10 Керування довкіллям (охоплює також сертифікацію та аудит систем керування довкіллям (</w:t>
      </w:r>
      <w:r w:rsidRPr="00D054B8">
        <w:rPr>
          <w:sz w:val="28"/>
          <w:szCs w:val="28"/>
        </w:rPr>
        <w:t>EMS</w:t>
      </w:r>
      <w:r w:rsidRPr="00D054B8">
        <w:rPr>
          <w:sz w:val="28"/>
          <w:szCs w:val="28"/>
          <w:lang w:val="uk-UA"/>
        </w:rPr>
        <w:t>) 13.020.20 Економіка довкілля</w:t>
      </w:r>
    </w:p>
    <w:p w:rsidR="00E4719B" w:rsidRPr="00D054B8" w:rsidRDefault="00E4719B" w:rsidP="0097076E">
      <w:pPr>
        <w:pStyle w:val="NormalWeb"/>
        <w:spacing w:before="0" w:beforeAutospacing="0" w:after="0" w:afterAutospacing="0"/>
        <w:rPr>
          <w:sz w:val="28"/>
          <w:szCs w:val="28"/>
        </w:rPr>
      </w:pPr>
      <w:r w:rsidRPr="00D054B8">
        <w:rPr>
          <w:sz w:val="28"/>
          <w:szCs w:val="28"/>
        </w:rPr>
        <w:t>13.020.30 Оцінювання впливу на довкілля (охоплює також керу</w:t>
      </w:r>
      <w:r w:rsidRPr="00D054B8">
        <w:rPr>
          <w:sz w:val="28"/>
          <w:szCs w:val="28"/>
        </w:rPr>
        <w:softHyphen/>
        <w:t>вання довкіллям у разі ризику)</w:t>
      </w:r>
    </w:p>
    <w:p w:rsidR="00E4719B" w:rsidRPr="00D054B8" w:rsidRDefault="00E4719B" w:rsidP="0097076E">
      <w:pPr>
        <w:pStyle w:val="NormalWeb"/>
        <w:spacing w:before="0" w:beforeAutospacing="0" w:after="0" w:afterAutospacing="0"/>
        <w:rPr>
          <w:sz w:val="28"/>
          <w:szCs w:val="28"/>
        </w:rPr>
      </w:pPr>
      <w:r w:rsidRPr="00D054B8">
        <w:rPr>
          <w:sz w:val="28"/>
          <w:szCs w:val="28"/>
        </w:rPr>
        <w:t>13.020.40 Забруднювання, боротьба з забруднюванням та консер</w:t>
      </w:r>
      <w:r w:rsidRPr="00D054B8">
        <w:rPr>
          <w:sz w:val="28"/>
          <w:szCs w:val="28"/>
        </w:rPr>
        <w:softHyphen/>
        <w:t>вування</w:t>
      </w:r>
    </w:p>
    <w:p w:rsidR="00E4719B" w:rsidRPr="00D054B8" w:rsidRDefault="00E4719B" w:rsidP="0097076E">
      <w:pPr>
        <w:pStyle w:val="NormalWeb"/>
        <w:spacing w:before="0" w:beforeAutospacing="0" w:after="0" w:afterAutospacing="0"/>
        <w:rPr>
          <w:sz w:val="28"/>
          <w:szCs w:val="28"/>
        </w:rPr>
      </w:pPr>
      <w:r w:rsidRPr="00D054B8">
        <w:rPr>
          <w:sz w:val="28"/>
          <w:szCs w:val="28"/>
        </w:rPr>
        <w:t>13.020.50 Екологічне маркування</w:t>
      </w:r>
    </w:p>
    <w:p w:rsidR="00E4719B" w:rsidRPr="00D054B8" w:rsidRDefault="00E4719B" w:rsidP="0097076E">
      <w:pPr>
        <w:pStyle w:val="NormalWeb"/>
        <w:spacing w:before="0" w:beforeAutospacing="0" w:after="0" w:afterAutospacing="0"/>
        <w:rPr>
          <w:sz w:val="28"/>
          <w:szCs w:val="28"/>
        </w:rPr>
      </w:pPr>
      <w:r w:rsidRPr="00D054B8">
        <w:rPr>
          <w:sz w:val="28"/>
          <w:szCs w:val="28"/>
        </w:rPr>
        <w:t>13.020.70 Проекти в сфері захисту довкілля</w:t>
      </w:r>
    </w:p>
    <w:p w:rsidR="00E4719B" w:rsidRPr="00D054B8" w:rsidRDefault="00E4719B" w:rsidP="0097076E">
      <w:pPr>
        <w:pStyle w:val="NormalWeb"/>
        <w:spacing w:before="0" w:beforeAutospacing="0" w:after="0" w:afterAutospacing="0"/>
        <w:rPr>
          <w:sz w:val="28"/>
          <w:szCs w:val="28"/>
        </w:rPr>
      </w:pPr>
      <w:r w:rsidRPr="00D054B8">
        <w:rPr>
          <w:sz w:val="28"/>
          <w:szCs w:val="28"/>
        </w:rPr>
        <w:t>13.020.99 Інші стандарти стосовно захисту довкілля</w:t>
      </w:r>
    </w:p>
    <w:p w:rsidR="00E4719B" w:rsidRPr="00D054B8" w:rsidRDefault="00E4719B" w:rsidP="0097076E">
      <w:pPr>
        <w:pStyle w:val="NormalWeb"/>
        <w:spacing w:before="0" w:beforeAutospacing="0" w:after="0" w:afterAutospacing="0"/>
        <w:rPr>
          <w:sz w:val="28"/>
          <w:szCs w:val="28"/>
        </w:rPr>
      </w:pPr>
      <w:r w:rsidRPr="00D054B8">
        <w:rPr>
          <w:sz w:val="28"/>
          <w:szCs w:val="28"/>
        </w:rPr>
        <w:t>13.030 Відходи</w:t>
      </w:r>
    </w:p>
    <w:p w:rsidR="00E4719B" w:rsidRPr="00D054B8" w:rsidRDefault="00E4719B" w:rsidP="0097076E">
      <w:pPr>
        <w:pStyle w:val="NormalWeb"/>
        <w:spacing w:before="0" w:beforeAutospacing="0" w:after="0" w:afterAutospacing="0"/>
        <w:rPr>
          <w:sz w:val="28"/>
          <w:szCs w:val="28"/>
        </w:rPr>
      </w:pPr>
      <w:r w:rsidRPr="00D054B8">
        <w:rPr>
          <w:sz w:val="28"/>
          <w:szCs w:val="28"/>
        </w:rPr>
        <w:t>13.040 Якість повітря</w:t>
      </w:r>
    </w:p>
    <w:p w:rsidR="00E4719B" w:rsidRPr="00D054B8" w:rsidRDefault="00E4719B" w:rsidP="0097076E">
      <w:pPr>
        <w:pStyle w:val="NormalWeb"/>
        <w:spacing w:before="0" w:beforeAutospacing="0" w:after="0" w:afterAutospacing="0"/>
        <w:rPr>
          <w:sz w:val="28"/>
          <w:szCs w:val="28"/>
        </w:rPr>
      </w:pPr>
      <w:r w:rsidRPr="00D054B8">
        <w:rPr>
          <w:sz w:val="28"/>
          <w:szCs w:val="28"/>
        </w:rPr>
        <w:t>13.060 Якість води</w:t>
      </w:r>
    </w:p>
    <w:p w:rsidR="00E4719B" w:rsidRPr="00D054B8" w:rsidRDefault="00E4719B" w:rsidP="0097076E">
      <w:pPr>
        <w:pStyle w:val="NormalWeb"/>
        <w:spacing w:before="0" w:beforeAutospacing="0" w:after="0" w:afterAutospacing="0"/>
        <w:rPr>
          <w:sz w:val="28"/>
          <w:szCs w:val="28"/>
        </w:rPr>
      </w:pPr>
      <w:r w:rsidRPr="00D054B8">
        <w:rPr>
          <w:sz w:val="28"/>
          <w:szCs w:val="28"/>
        </w:rPr>
        <w:t>13.080 Якість ґрунту</w:t>
      </w:r>
    </w:p>
    <w:p w:rsidR="00E4719B" w:rsidRPr="00D054B8" w:rsidRDefault="00E4719B" w:rsidP="0097076E">
      <w:pPr>
        <w:pStyle w:val="NormalWeb"/>
        <w:spacing w:before="0" w:beforeAutospacing="0" w:after="0" w:afterAutospacing="0"/>
        <w:rPr>
          <w:sz w:val="28"/>
          <w:szCs w:val="28"/>
        </w:rPr>
      </w:pPr>
      <w:r w:rsidRPr="00D054B8">
        <w:rPr>
          <w:sz w:val="28"/>
          <w:szCs w:val="28"/>
        </w:rPr>
        <w:t>13.140 Шум та його вплив на людину та інші.</w:t>
      </w:r>
    </w:p>
    <w:p w:rsidR="00E4719B" w:rsidRPr="00D054B8" w:rsidRDefault="00E4719B" w:rsidP="0097076E">
      <w:pPr>
        <w:pStyle w:val="NormalWeb"/>
        <w:spacing w:before="0" w:beforeAutospacing="0" w:after="0" w:afterAutospacing="0"/>
        <w:jc w:val="both"/>
        <w:rPr>
          <w:i/>
          <w:iCs/>
          <w:sz w:val="28"/>
          <w:szCs w:val="28"/>
          <w:lang w:val="uk-UA"/>
        </w:rPr>
      </w:pPr>
    </w:p>
    <w:p w:rsidR="00E4719B" w:rsidRPr="00D054B8" w:rsidRDefault="00E4719B" w:rsidP="0097076E">
      <w:pPr>
        <w:pStyle w:val="NormalWeb"/>
        <w:spacing w:before="0" w:beforeAutospacing="0" w:after="0" w:afterAutospacing="0"/>
        <w:jc w:val="both"/>
        <w:rPr>
          <w:sz w:val="28"/>
          <w:szCs w:val="28"/>
        </w:rPr>
      </w:pPr>
      <w:r w:rsidRPr="00D054B8">
        <w:rPr>
          <w:i/>
          <w:iCs/>
          <w:sz w:val="28"/>
          <w:szCs w:val="28"/>
        </w:rPr>
        <w:t>Міжнародні стандарти, в першу чергу стандарти міжнародної ор</w:t>
      </w:r>
      <w:r w:rsidRPr="00D054B8">
        <w:rPr>
          <w:i/>
          <w:iCs/>
          <w:sz w:val="28"/>
          <w:szCs w:val="28"/>
        </w:rPr>
        <w:softHyphen/>
        <w:t xml:space="preserve">ганізації з питань стандартизації (ISO). </w:t>
      </w:r>
    </w:p>
    <w:p w:rsidR="00E4719B" w:rsidRPr="00D054B8" w:rsidRDefault="00E4719B" w:rsidP="0097076E">
      <w:pPr>
        <w:pStyle w:val="NormalWeb"/>
        <w:spacing w:before="0" w:beforeAutospacing="0" w:after="0" w:afterAutospacing="0"/>
        <w:jc w:val="both"/>
        <w:rPr>
          <w:sz w:val="28"/>
          <w:szCs w:val="28"/>
          <w:lang w:val="uk-UA"/>
        </w:rPr>
      </w:pPr>
    </w:p>
    <w:p w:rsidR="00E4719B" w:rsidRPr="00D054B8" w:rsidRDefault="00E4719B" w:rsidP="0097076E">
      <w:pPr>
        <w:pStyle w:val="NormalWeb"/>
        <w:spacing w:before="0" w:beforeAutospacing="0" w:after="0" w:afterAutospacing="0"/>
        <w:jc w:val="both"/>
        <w:rPr>
          <w:sz w:val="28"/>
          <w:szCs w:val="28"/>
          <w:lang w:val="uk-UA"/>
        </w:rPr>
      </w:pPr>
      <w:r w:rsidRPr="00D054B8">
        <w:rPr>
          <w:sz w:val="28"/>
          <w:szCs w:val="28"/>
          <w:lang w:val="uk-UA"/>
        </w:rPr>
        <w:t xml:space="preserve">Протягом 90-х років </w:t>
      </w:r>
      <w:r w:rsidRPr="00D054B8">
        <w:rPr>
          <w:sz w:val="28"/>
          <w:szCs w:val="28"/>
        </w:rPr>
        <w:t>XX</w:t>
      </w:r>
      <w:r w:rsidRPr="00D054B8">
        <w:rPr>
          <w:sz w:val="28"/>
          <w:szCs w:val="28"/>
          <w:lang w:val="uk-UA"/>
        </w:rPr>
        <w:t xml:space="preserve"> сторіччя в Україні адаптовано (тобто надано юридичної сили дер</w:t>
      </w:r>
      <w:r w:rsidRPr="00D054B8">
        <w:rPr>
          <w:sz w:val="28"/>
          <w:szCs w:val="28"/>
          <w:lang w:val="uk-UA"/>
        </w:rPr>
        <w:softHyphen/>
        <w:t xml:space="preserve">жавного стандарту України) групі стандартів </w:t>
      </w:r>
      <w:r w:rsidRPr="00D054B8">
        <w:rPr>
          <w:sz w:val="28"/>
          <w:szCs w:val="28"/>
        </w:rPr>
        <w:t>ISO</w:t>
      </w:r>
      <w:r w:rsidRPr="00D054B8">
        <w:rPr>
          <w:sz w:val="28"/>
          <w:szCs w:val="28"/>
          <w:lang w:val="uk-UA"/>
        </w:rPr>
        <w:t>, якими регулюють</w:t>
      </w:r>
      <w:r w:rsidRPr="00D054B8">
        <w:rPr>
          <w:sz w:val="28"/>
          <w:szCs w:val="28"/>
          <w:lang w:val="uk-UA"/>
        </w:rPr>
        <w:softHyphen/>
        <w:t>ся питання екологічного менеджменту, екологічного аудиту, а також екологічного маркування. Сьогодні чинними в Україні є такі міжна</w:t>
      </w:r>
      <w:r w:rsidRPr="00D054B8">
        <w:rPr>
          <w:sz w:val="28"/>
          <w:szCs w:val="28"/>
          <w:lang w:val="uk-UA"/>
        </w:rPr>
        <w:softHyphen/>
        <w:t xml:space="preserve">родні стандарти </w:t>
      </w:r>
      <w:r w:rsidRPr="00D054B8">
        <w:rPr>
          <w:sz w:val="28"/>
          <w:szCs w:val="28"/>
        </w:rPr>
        <w:t>ISO</w:t>
      </w:r>
      <w:r w:rsidRPr="00D054B8">
        <w:rPr>
          <w:sz w:val="28"/>
          <w:szCs w:val="28"/>
          <w:lang w:val="uk-UA"/>
        </w:rPr>
        <w:t>:</w:t>
      </w:r>
    </w:p>
    <w:p w:rsidR="00E4719B" w:rsidRPr="00D054B8" w:rsidRDefault="00E4719B" w:rsidP="0097076E">
      <w:pPr>
        <w:pStyle w:val="NormalWeb"/>
        <w:spacing w:before="0" w:beforeAutospacing="0" w:after="0" w:afterAutospacing="0"/>
        <w:jc w:val="both"/>
        <w:rPr>
          <w:sz w:val="28"/>
          <w:szCs w:val="28"/>
        </w:rPr>
      </w:pPr>
      <w:r w:rsidRPr="00D054B8">
        <w:rPr>
          <w:sz w:val="28"/>
          <w:szCs w:val="28"/>
          <w:lang w:val="uk-UA"/>
        </w:rPr>
        <w:t xml:space="preserve">ДСТУ </w:t>
      </w:r>
      <w:r w:rsidRPr="00D054B8">
        <w:rPr>
          <w:sz w:val="28"/>
          <w:szCs w:val="28"/>
        </w:rPr>
        <w:t>ISO</w:t>
      </w:r>
      <w:r w:rsidRPr="00D054B8">
        <w:rPr>
          <w:sz w:val="28"/>
          <w:szCs w:val="28"/>
          <w:lang w:val="uk-UA"/>
        </w:rPr>
        <w:t xml:space="preserve"> 14001:2006. </w:t>
      </w:r>
      <w:r w:rsidRPr="00D054B8">
        <w:rPr>
          <w:sz w:val="28"/>
          <w:szCs w:val="28"/>
        </w:rPr>
        <w:t>Системи екологічного керування. Вимоги та настанови щодо застосування (ISO 14001:2004, IDT);</w:t>
      </w:r>
    </w:p>
    <w:p w:rsidR="00E4719B" w:rsidRPr="00D054B8" w:rsidRDefault="00E4719B" w:rsidP="0097076E">
      <w:pPr>
        <w:pStyle w:val="NormalWeb"/>
        <w:spacing w:before="0" w:beforeAutospacing="0" w:after="0" w:afterAutospacing="0"/>
        <w:jc w:val="both"/>
        <w:rPr>
          <w:sz w:val="28"/>
          <w:szCs w:val="28"/>
        </w:rPr>
      </w:pPr>
      <w:r w:rsidRPr="00D054B8">
        <w:rPr>
          <w:sz w:val="28"/>
          <w:szCs w:val="28"/>
        </w:rPr>
        <w:t>ДСТУ ISO 14004:2006. Системи екологічного управління. Загальні настанови щодо принципів, систем та засобів забезпечення (ISO 14004:2004, IDT);</w:t>
      </w:r>
    </w:p>
    <w:p w:rsidR="00E4719B" w:rsidRPr="00D054B8" w:rsidRDefault="00E4719B" w:rsidP="0097076E">
      <w:pPr>
        <w:pStyle w:val="NormalWeb"/>
        <w:spacing w:before="0" w:beforeAutospacing="0" w:after="0" w:afterAutospacing="0"/>
        <w:jc w:val="both"/>
        <w:rPr>
          <w:sz w:val="28"/>
          <w:szCs w:val="28"/>
        </w:rPr>
      </w:pPr>
      <w:r w:rsidRPr="00D054B8">
        <w:rPr>
          <w:sz w:val="28"/>
          <w:szCs w:val="28"/>
        </w:rPr>
        <w:t>ДСТУ ISO 14020:2003. Екологічні маркування та декларації. За</w:t>
      </w:r>
      <w:r w:rsidRPr="00D054B8">
        <w:rPr>
          <w:sz w:val="28"/>
          <w:szCs w:val="28"/>
        </w:rPr>
        <w:softHyphen/>
        <w:t>гальні принципи (ISO 14020:2000, IDT);</w:t>
      </w:r>
    </w:p>
    <w:p w:rsidR="00E4719B" w:rsidRPr="00D054B8" w:rsidRDefault="00E4719B" w:rsidP="0097076E">
      <w:pPr>
        <w:pStyle w:val="NormalWeb"/>
        <w:spacing w:before="0" w:beforeAutospacing="0" w:after="0" w:afterAutospacing="0"/>
        <w:jc w:val="both"/>
        <w:rPr>
          <w:sz w:val="28"/>
          <w:szCs w:val="28"/>
        </w:rPr>
      </w:pPr>
      <w:r w:rsidRPr="00D054B8">
        <w:rPr>
          <w:sz w:val="28"/>
          <w:szCs w:val="28"/>
        </w:rPr>
        <w:t>ДСТУ ISO 14021:2002. Екологічні маркування та декларації. Еко</w:t>
      </w:r>
      <w:r w:rsidRPr="00D054B8">
        <w:rPr>
          <w:sz w:val="28"/>
          <w:szCs w:val="28"/>
        </w:rPr>
        <w:softHyphen/>
        <w:t>логічні самодекларації (Екологічне маркування типу II) (ISO 14021:1999, IDT);</w:t>
      </w:r>
    </w:p>
    <w:p w:rsidR="00E4719B" w:rsidRPr="00D054B8" w:rsidRDefault="00E4719B" w:rsidP="0097076E">
      <w:pPr>
        <w:pStyle w:val="NormalWeb"/>
        <w:spacing w:before="0" w:beforeAutospacing="0" w:after="0" w:afterAutospacing="0"/>
        <w:jc w:val="both"/>
        <w:rPr>
          <w:sz w:val="28"/>
          <w:szCs w:val="28"/>
        </w:rPr>
      </w:pPr>
      <w:r w:rsidRPr="00D054B8">
        <w:rPr>
          <w:sz w:val="28"/>
          <w:szCs w:val="28"/>
        </w:rPr>
        <w:t>ДСТУ ISO 14024:2002. Екологічні маркування та декларації. Еко</w:t>
      </w:r>
      <w:r w:rsidRPr="00D054B8">
        <w:rPr>
          <w:sz w:val="28"/>
          <w:szCs w:val="28"/>
        </w:rPr>
        <w:softHyphen/>
        <w:t>логічне маркування типу І. Принципи та методи (ISO 14024:1999, IDT);</w:t>
      </w:r>
    </w:p>
    <w:p w:rsidR="00E4719B" w:rsidRPr="00D054B8" w:rsidRDefault="00E4719B" w:rsidP="0097076E">
      <w:pPr>
        <w:pStyle w:val="NormalWeb"/>
        <w:spacing w:before="0" w:beforeAutospacing="0" w:after="0" w:afterAutospacing="0"/>
        <w:jc w:val="both"/>
        <w:rPr>
          <w:sz w:val="28"/>
          <w:szCs w:val="28"/>
        </w:rPr>
      </w:pPr>
      <w:r w:rsidRPr="00D054B8">
        <w:rPr>
          <w:sz w:val="28"/>
          <w:szCs w:val="28"/>
        </w:rPr>
        <w:t>ДСТУ ISO/TR 14025:2002. Екологічні маркування та декларації. Екологічні декларації типу III (180ДЫ 14025:2000, IDT);</w:t>
      </w:r>
    </w:p>
    <w:p w:rsidR="00E4719B" w:rsidRPr="00D054B8" w:rsidRDefault="00E4719B" w:rsidP="0097076E">
      <w:pPr>
        <w:pStyle w:val="NormalWeb"/>
        <w:spacing w:before="0" w:beforeAutospacing="0" w:after="0" w:afterAutospacing="0"/>
        <w:jc w:val="both"/>
        <w:rPr>
          <w:sz w:val="28"/>
          <w:szCs w:val="28"/>
        </w:rPr>
      </w:pPr>
      <w:r w:rsidRPr="00D054B8">
        <w:rPr>
          <w:sz w:val="28"/>
          <w:szCs w:val="28"/>
        </w:rPr>
        <w:t>ДСТУ ISO — 19011:2003. Настанови щодо здійснення аудитів сис</w:t>
      </w:r>
      <w:r w:rsidRPr="00D054B8">
        <w:rPr>
          <w:sz w:val="28"/>
          <w:szCs w:val="28"/>
        </w:rPr>
        <w:softHyphen/>
        <w:t>тем управління якістю і (або) екологічного управління.</w:t>
      </w:r>
    </w:p>
    <w:p w:rsidR="00E4719B" w:rsidRPr="00D054B8" w:rsidRDefault="00E4719B" w:rsidP="00F85F35">
      <w:pPr>
        <w:pStyle w:val="NormalWeb"/>
        <w:spacing w:before="0" w:beforeAutospacing="0" w:after="0" w:afterAutospacing="0"/>
        <w:jc w:val="both"/>
        <w:rPr>
          <w:sz w:val="28"/>
          <w:szCs w:val="28"/>
        </w:rPr>
      </w:pPr>
    </w:p>
    <w:p w:rsidR="00E4719B" w:rsidRPr="00D054B8" w:rsidRDefault="00E4719B" w:rsidP="00710C18">
      <w:pPr>
        <w:pStyle w:val="NormalWeb"/>
        <w:spacing w:before="0" w:beforeAutospacing="0" w:after="0" w:afterAutospacing="0" w:line="360" w:lineRule="auto"/>
        <w:jc w:val="both"/>
        <w:rPr>
          <w:sz w:val="28"/>
          <w:szCs w:val="28"/>
        </w:rPr>
      </w:pPr>
      <w:r w:rsidRPr="00D054B8">
        <w:rPr>
          <w:i/>
          <w:iCs/>
          <w:sz w:val="28"/>
          <w:szCs w:val="28"/>
        </w:rPr>
        <w:t xml:space="preserve">Галузеві стандарти/технічні умови </w:t>
      </w:r>
      <w:r w:rsidRPr="00D054B8">
        <w:rPr>
          <w:i/>
          <w:iCs/>
          <w:sz w:val="28"/>
          <w:szCs w:val="28"/>
          <w:lang w:val="uk-UA"/>
        </w:rPr>
        <w:t xml:space="preserve"> ТУ </w:t>
      </w:r>
      <w:r w:rsidRPr="00D054B8">
        <w:rPr>
          <w:sz w:val="28"/>
          <w:szCs w:val="28"/>
        </w:rPr>
        <w:t>—</w:t>
      </w:r>
      <w:r w:rsidRPr="00D054B8">
        <w:rPr>
          <w:sz w:val="28"/>
          <w:szCs w:val="28"/>
          <w:lang w:val="uk-UA"/>
        </w:rPr>
        <w:t xml:space="preserve"> </w:t>
      </w:r>
      <w:r w:rsidRPr="00D054B8">
        <w:rPr>
          <w:sz w:val="28"/>
          <w:szCs w:val="28"/>
        </w:rPr>
        <w:t>стандарти, дія яких поши</w:t>
      </w:r>
      <w:r w:rsidRPr="00D054B8">
        <w:rPr>
          <w:sz w:val="28"/>
          <w:szCs w:val="28"/>
        </w:rPr>
        <w:softHyphen/>
        <w:t>рюється на підприємства (установи, організації), підпорядковані пев</w:t>
      </w:r>
      <w:r w:rsidRPr="00D054B8">
        <w:rPr>
          <w:sz w:val="28"/>
          <w:szCs w:val="28"/>
        </w:rPr>
        <w:softHyphen/>
        <w:t>ному міністерству чи іншому центральному органу виконавчої влади, яким і затверджуються відповідні стандарти. Якщо дія стандартів поширюється на підприємства, що підпорядковані двом (кільком) центральним органам виконавчої влади, вони підлягають затверд</w:t>
      </w:r>
      <w:r w:rsidRPr="00D054B8">
        <w:rPr>
          <w:sz w:val="28"/>
          <w:szCs w:val="28"/>
        </w:rPr>
        <w:softHyphen/>
        <w:t>женню всіма цими органами і набувають юридичної сили міжгалузе</w:t>
      </w:r>
      <w:r w:rsidRPr="00D054B8">
        <w:rPr>
          <w:sz w:val="28"/>
          <w:szCs w:val="28"/>
        </w:rPr>
        <w:softHyphen/>
        <w:t>вих стандартів.</w:t>
      </w:r>
    </w:p>
    <w:p w:rsidR="00E4719B" w:rsidRPr="00D054B8" w:rsidRDefault="00E4719B" w:rsidP="00710C18">
      <w:pPr>
        <w:pStyle w:val="NormalWeb"/>
        <w:spacing w:before="0" w:beforeAutospacing="0" w:after="0" w:afterAutospacing="0" w:line="360" w:lineRule="auto"/>
        <w:jc w:val="both"/>
        <w:rPr>
          <w:sz w:val="28"/>
          <w:szCs w:val="28"/>
        </w:rPr>
      </w:pPr>
      <w:r w:rsidRPr="00D054B8">
        <w:rPr>
          <w:sz w:val="28"/>
          <w:szCs w:val="28"/>
        </w:rPr>
        <w:t> </w:t>
      </w:r>
    </w:p>
    <w:p w:rsidR="00E4719B" w:rsidRPr="00D054B8" w:rsidRDefault="00E4719B" w:rsidP="00710C18">
      <w:pPr>
        <w:pStyle w:val="NormalWeb"/>
        <w:spacing w:before="0" w:beforeAutospacing="0" w:after="0" w:afterAutospacing="0" w:line="360" w:lineRule="auto"/>
        <w:jc w:val="both"/>
        <w:rPr>
          <w:sz w:val="28"/>
          <w:szCs w:val="28"/>
        </w:rPr>
      </w:pPr>
      <w:r w:rsidRPr="00D054B8">
        <w:rPr>
          <w:i/>
          <w:iCs/>
          <w:sz w:val="28"/>
          <w:szCs w:val="28"/>
        </w:rPr>
        <w:t xml:space="preserve">Стандарти підприємства </w:t>
      </w:r>
      <w:r w:rsidRPr="00D054B8">
        <w:rPr>
          <w:sz w:val="28"/>
          <w:szCs w:val="28"/>
        </w:rPr>
        <w:t>—</w:t>
      </w:r>
      <w:r w:rsidRPr="00D054B8">
        <w:rPr>
          <w:sz w:val="28"/>
          <w:szCs w:val="28"/>
          <w:lang w:val="uk-UA"/>
        </w:rPr>
        <w:t xml:space="preserve"> </w:t>
      </w:r>
      <w:r w:rsidRPr="00D054B8">
        <w:rPr>
          <w:sz w:val="28"/>
          <w:szCs w:val="28"/>
        </w:rPr>
        <w:t>нормативно-технічні документи, затверджені наказом керівника (органу управління) конкретного підприємства, на яке і поширюється їх дія. Інколи дія таких екологічних стандартів може бути поширена на групу аналогічних підприємств га</w:t>
      </w:r>
      <w:r w:rsidRPr="00D054B8">
        <w:rPr>
          <w:sz w:val="28"/>
          <w:szCs w:val="28"/>
        </w:rPr>
        <w:softHyphen/>
        <w:t>лузі (в цьому випадку необхідно затвердження стандарту вищим(и) органом(ами) управління, він втрачає юридичну силу стандарту підприємства, набуваючи сили галузевого/міжгалузевого стандарту).</w:t>
      </w:r>
    </w:p>
    <w:p w:rsidR="00E4719B" w:rsidRPr="00D054B8" w:rsidRDefault="00E4719B" w:rsidP="00710C18">
      <w:pPr>
        <w:pStyle w:val="NormalWeb"/>
        <w:spacing w:before="0" w:beforeAutospacing="0" w:after="0" w:afterAutospacing="0" w:line="360" w:lineRule="auto"/>
        <w:jc w:val="both"/>
        <w:rPr>
          <w:sz w:val="28"/>
          <w:szCs w:val="28"/>
          <w:lang w:val="uk-UA"/>
        </w:rPr>
      </w:pPr>
    </w:p>
    <w:p w:rsidR="00E4719B" w:rsidRPr="00D054B8" w:rsidRDefault="00E4719B" w:rsidP="00195060">
      <w:pPr>
        <w:pStyle w:val="ListParagraph"/>
        <w:numPr>
          <w:ilvl w:val="1"/>
          <w:numId w:val="6"/>
        </w:numPr>
        <w:spacing w:after="0" w:line="240" w:lineRule="auto"/>
        <w:jc w:val="both"/>
        <w:rPr>
          <w:rFonts w:ascii="Times New Roman" w:hAnsi="Times New Roman"/>
          <w:sz w:val="28"/>
          <w:szCs w:val="28"/>
          <w:lang w:val="uk-UA" w:eastAsia="ru-RU"/>
        </w:rPr>
      </w:pPr>
      <w:r w:rsidRPr="00D054B8">
        <w:rPr>
          <w:rFonts w:ascii="Times New Roman" w:hAnsi="Times New Roman"/>
          <w:sz w:val="28"/>
          <w:szCs w:val="28"/>
          <w:lang w:val="uk-UA" w:eastAsia="ru-RU"/>
        </w:rPr>
        <w:t xml:space="preserve">Нормативні документи Технічного комітету зі стандартизації «Охорона навколишнього середовища та раціональне використання ресурсів України» </w:t>
      </w:r>
    </w:p>
    <w:p w:rsidR="00E4719B" w:rsidRPr="00D054B8" w:rsidRDefault="00E4719B" w:rsidP="003D6A22">
      <w:pPr>
        <w:pStyle w:val="ListParagraph"/>
        <w:spacing w:after="0" w:line="240" w:lineRule="auto"/>
        <w:ind w:left="567"/>
        <w:jc w:val="both"/>
        <w:rPr>
          <w:rFonts w:ascii="Times New Roman" w:hAnsi="Times New Roman"/>
          <w:sz w:val="28"/>
          <w:szCs w:val="28"/>
          <w:lang w:val="uk-UA" w:eastAsia="ru-RU"/>
        </w:rPr>
      </w:pPr>
      <w:r w:rsidRPr="00D054B8">
        <w:rPr>
          <w:rFonts w:ascii="Times New Roman" w:hAnsi="Times New Roman"/>
          <w:sz w:val="28"/>
          <w:szCs w:val="28"/>
          <w:lang w:val="uk-UA" w:eastAsia="ru-RU"/>
        </w:rPr>
        <w:t>Стан нормативно-методичної бази в галузі охорони довкілля є одним з важливих елементів механізму регулювання взаємовідносин суспільства з довкіллям, зокрема, включає екологічні стандарти та керівні нормативні документи Міністерства екології та природних ресурсів.</w:t>
      </w:r>
    </w:p>
    <w:p w:rsidR="00E4719B" w:rsidRPr="00D054B8" w:rsidRDefault="00E4719B" w:rsidP="00F85F35">
      <w:pPr>
        <w:spacing w:after="0" w:line="240" w:lineRule="auto"/>
        <w:ind w:firstLine="708"/>
        <w:jc w:val="both"/>
        <w:rPr>
          <w:rFonts w:ascii="Times New Roman" w:hAnsi="Times New Roman"/>
          <w:sz w:val="28"/>
          <w:szCs w:val="28"/>
          <w:lang w:val="uk-UA" w:eastAsia="ru-RU"/>
        </w:rPr>
      </w:pPr>
      <w:r w:rsidRPr="00D054B8">
        <w:rPr>
          <w:rFonts w:ascii="Times New Roman" w:hAnsi="Times New Roman"/>
          <w:sz w:val="28"/>
          <w:szCs w:val="28"/>
          <w:lang w:val="uk-UA" w:eastAsia="ru-RU"/>
        </w:rPr>
        <w:t>В останні роки була приділена значна увага розробці нормативних документів, що мають забезпечувати юридичну силу результатів вимірювань аналітичних підрозділів.</w:t>
      </w:r>
    </w:p>
    <w:p w:rsidR="00E4719B" w:rsidRPr="00D054B8" w:rsidRDefault="00E4719B" w:rsidP="00F85F35">
      <w:pPr>
        <w:spacing w:after="0" w:line="240" w:lineRule="auto"/>
        <w:ind w:firstLine="708"/>
        <w:jc w:val="both"/>
        <w:rPr>
          <w:rFonts w:ascii="Times New Roman" w:hAnsi="Times New Roman"/>
          <w:sz w:val="28"/>
          <w:szCs w:val="28"/>
          <w:lang w:val="uk-UA" w:eastAsia="ru-RU"/>
        </w:rPr>
      </w:pPr>
      <w:r w:rsidRPr="00D054B8">
        <w:rPr>
          <w:rFonts w:ascii="Times New Roman" w:hAnsi="Times New Roman"/>
          <w:sz w:val="28"/>
          <w:szCs w:val="28"/>
          <w:lang w:val="uk-UA" w:eastAsia="ru-RU"/>
        </w:rPr>
        <w:t>Так, Міністерством було затверджено розроблені Технічним комітетом зі стандартизації «Охорона навколишнього природного середовища та раціональне використання ресурсів України» та науковими закладами такі керівні нормативні документи (КНД):</w:t>
      </w:r>
    </w:p>
    <w:p w:rsidR="00E4719B" w:rsidRPr="00D054B8" w:rsidRDefault="00E4719B" w:rsidP="00F85F35">
      <w:pPr>
        <w:spacing w:after="0" w:line="240" w:lineRule="auto"/>
        <w:jc w:val="both"/>
        <w:rPr>
          <w:rFonts w:ascii="Times New Roman" w:hAnsi="Times New Roman"/>
          <w:sz w:val="28"/>
          <w:szCs w:val="28"/>
          <w:lang w:val="uk-UA" w:eastAsia="ru-RU"/>
        </w:rPr>
      </w:pPr>
      <w:r w:rsidRPr="00D054B8">
        <w:rPr>
          <w:rFonts w:ascii="Times New Roman" w:hAnsi="Times New Roman"/>
          <w:sz w:val="28"/>
          <w:szCs w:val="28"/>
          <w:lang w:val="uk-UA" w:eastAsia="ru-RU"/>
        </w:rPr>
        <w:t>•КНД 211.2.4.053-97 «Метрологічне забезпечення. Методи визначення складу та властивостей атмосферного повітря та викидів у нього. Загальні вимоги до розробки»;</w:t>
      </w:r>
    </w:p>
    <w:p w:rsidR="00E4719B" w:rsidRPr="00D054B8" w:rsidRDefault="00E4719B" w:rsidP="00F85F35">
      <w:pPr>
        <w:spacing w:after="0" w:line="240" w:lineRule="auto"/>
        <w:jc w:val="both"/>
        <w:rPr>
          <w:rFonts w:ascii="Times New Roman" w:hAnsi="Times New Roman"/>
          <w:sz w:val="28"/>
          <w:szCs w:val="28"/>
          <w:lang w:val="uk-UA" w:eastAsia="ru-RU"/>
        </w:rPr>
      </w:pPr>
      <w:r w:rsidRPr="00D054B8">
        <w:rPr>
          <w:rFonts w:ascii="Times New Roman" w:hAnsi="Times New Roman"/>
          <w:sz w:val="28"/>
          <w:szCs w:val="28"/>
          <w:lang w:val="uk-UA" w:eastAsia="ru-RU"/>
        </w:rPr>
        <w:t>•КНД 211.1.4.054-97 «Методика визначення гострої токсичності води на ракоподібних;</w:t>
      </w:r>
    </w:p>
    <w:p w:rsidR="00E4719B" w:rsidRPr="00D054B8" w:rsidRDefault="00E4719B" w:rsidP="00F85F35">
      <w:pPr>
        <w:spacing w:after="0" w:line="240" w:lineRule="auto"/>
        <w:jc w:val="both"/>
        <w:rPr>
          <w:rFonts w:ascii="Times New Roman" w:hAnsi="Times New Roman"/>
          <w:sz w:val="28"/>
          <w:szCs w:val="28"/>
          <w:lang w:val="uk-UA" w:eastAsia="ru-RU"/>
        </w:rPr>
      </w:pPr>
      <w:r w:rsidRPr="00D054B8">
        <w:rPr>
          <w:rFonts w:ascii="Times New Roman" w:hAnsi="Times New Roman"/>
          <w:sz w:val="28"/>
          <w:szCs w:val="28"/>
          <w:lang w:val="uk-UA" w:eastAsia="ru-RU"/>
        </w:rPr>
        <w:t>•КНД 211.1.4.055-97 «Методика визначення гострої летальної токсичності води на ракоподібних ;</w:t>
      </w:r>
    </w:p>
    <w:p w:rsidR="00E4719B" w:rsidRPr="00D054B8" w:rsidRDefault="00E4719B" w:rsidP="00F85F35">
      <w:pPr>
        <w:spacing w:after="0" w:line="240" w:lineRule="auto"/>
        <w:jc w:val="both"/>
        <w:rPr>
          <w:rFonts w:ascii="Times New Roman" w:hAnsi="Times New Roman"/>
          <w:sz w:val="28"/>
          <w:szCs w:val="28"/>
          <w:lang w:val="uk-UA" w:eastAsia="ru-RU"/>
        </w:rPr>
      </w:pPr>
      <w:r w:rsidRPr="00D054B8">
        <w:rPr>
          <w:rFonts w:ascii="Times New Roman" w:hAnsi="Times New Roman"/>
          <w:sz w:val="28"/>
          <w:szCs w:val="28"/>
          <w:lang w:val="uk-UA" w:eastAsia="ru-RU"/>
        </w:rPr>
        <w:t>•КНД 211.1.4.056-97 «Методика визначення хронічної токсичності води на ракоподібних;</w:t>
      </w:r>
    </w:p>
    <w:p w:rsidR="00E4719B" w:rsidRPr="00D054B8" w:rsidRDefault="00E4719B" w:rsidP="00F85F35">
      <w:pPr>
        <w:spacing w:after="0" w:line="240" w:lineRule="auto"/>
        <w:jc w:val="both"/>
        <w:rPr>
          <w:rFonts w:ascii="Times New Roman" w:hAnsi="Times New Roman"/>
          <w:sz w:val="28"/>
          <w:szCs w:val="28"/>
          <w:lang w:val="uk-UA" w:eastAsia="ru-RU"/>
        </w:rPr>
      </w:pPr>
      <w:r w:rsidRPr="00D054B8">
        <w:rPr>
          <w:rFonts w:ascii="Times New Roman" w:hAnsi="Times New Roman"/>
          <w:sz w:val="28"/>
          <w:szCs w:val="28"/>
          <w:lang w:val="uk-UA" w:eastAsia="ru-RU"/>
        </w:rPr>
        <w:t>•КНД 211.1.4.057-97 «Методика визначення гострої летальної токсичності води на рибах;</w:t>
      </w:r>
    </w:p>
    <w:p w:rsidR="00E4719B" w:rsidRPr="00D054B8" w:rsidRDefault="00E4719B" w:rsidP="00F85F35">
      <w:pPr>
        <w:spacing w:after="0" w:line="240" w:lineRule="auto"/>
        <w:jc w:val="both"/>
        <w:rPr>
          <w:rFonts w:ascii="Times New Roman" w:hAnsi="Times New Roman"/>
          <w:sz w:val="28"/>
          <w:szCs w:val="28"/>
          <w:lang w:val="uk-UA" w:eastAsia="ru-RU"/>
        </w:rPr>
      </w:pPr>
      <w:r w:rsidRPr="00D054B8">
        <w:rPr>
          <w:rFonts w:ascii="Times New Roman" w:hAnsi="Times New Roman"/>
          <w:sz w:val="28"/>
          <w:szCs w:val="28"/>
          <w:lang w:val="uk-UA" w:eastAsia="ru-RU"/>
        </w:rPr>
        <w:t>•КНД 211.1.4.058-97 «Методика визначення гострої токсичності води на водоростях;</w:t>
      </w:r>
    </w:p>
    <w:p w:rsidR="00E4719B" w:rsidRPr="00D054B8" w:rsidRDefault="00E4719B" w:rsidP="00F85F35">
      <w:pPr>
        <w:spacing w:after="0" w:line="240" w:lineRule="auto"/>
        <w:jc w:val="both"/>
        <w:rPr>
          <w:rFonts w:ascii="Times New Roman" w:hAnsi="Times New Roman"/>
          <w:sz w:val="28"/>
          <w:szCs w:val="28"/>
          <w:lang w:val="uk-UA" w:eastAsia="ru-RU"/>
        </w:rPr>
      </w:pPr>
      <w:r w:rsidRPr="00D054B8">
        <w:rPr>
          <w:rFonts w:ascii="Times New Roman" w:hAnsi="Times New Roman"/>
          <w:sz w:val="28"/>
          <w:szCs w:val="28"/>
          <w:lang w:val="uk-UA" w:eastAsia="ru-RU"/>
        </w:rPr>
        <w:t>• КНД 211.1.4.059-97 «Методика визначення токсичності води на інфузоріях;</w:t>
      </w:r>
    </w:p>
    <w:p w:rsidR="00E4719B" w:rsidRPr="00D054B8" w:rsidRDefault="00E4719B" w:rsidP="00F85F35">
      <w:pPr>
        <w:spacing w:after="0" w:line="240" w:lineRule="auto"/>
        <w:jc w:val="both"/>
        <w:rPr>
          <w:rFonts w:ascii="Times New Roman" w:hAnsi="Times New Roman"/>
          <w:sz w:val="28"/>
          <w:szCs w:val="28"/>
          <w:lang w:val="uk-UA" w:eastAsia="ru-RU"/>
        </w:rPr>
      </w:pPr>
      <w:r w:rsidRPr="00D054B8">
        <w:rPr>
          <w:rFonts w:ascii="Times New Roman" w:hAnsi="Times New Roman"/>
          <w:sz w:val="28"/>
          <w:szCs w:val="28"/>
          <w:lang w:val="uk-UA" w:eastAsia="ru-RU"/>
        </w:rPr>
        <w:t>• КНД 211.1.4.060-97 «Методика визначення токсичності води на бактеріях;</w:t>
      </w:r>
    </w:p>
    <w:p w:rsidR="00E4719B" w:rsidRPr="00D054B8" w:rsidRDefault="00E4719B" w:rsidP="00F85F35">
      <w:pPr>
        <w:spacing w:after="0" w:line="240" w:lineRule="auto"/>
        <w:jc w:val="both"/>
        <w:rPr>
          <w:rFonts w:ascii="Times New Roman" w:hAnsi="Times New Roman"/>
          <w:sz w:val="28"/>
          <w:szCs w:val="28"/>
          <w:lang w:val="uk-UA" w:eastAsia="ru-RU"/>
        </w:rPr>
      </w:pPr>
      <w:r w:rsidRPr="00D054B8">
        <w:rPr>
          <w:rFonts w:ascii="Times New Roman" w:hAnsi="Times New Roman"/>
          <w:sz w:val="28"/>
          <w:szCs w:val="28"/>
          <w:lang w:val="uk-UA" w:eastAsia="ru-RU"/>
        </w:rPr>
        <w:t>•КНД 211.0.0.061-97 «Метрологічне забезпечення. Оцінка стану вимірювань у галузі охорони навколишнього природного середовища та раціонального використання природних ресурсів»;</w:t>
      </w:r>
    </w:p>
    <w:p w:rsidR="00E4719B" w:rsidRPr="00D054B8" w:rsidRDefault="00E4719B" w:rsidP="00F85F35">
      <w:pPr>
        <w:spacing w:after="0" w:line="240" w:lineRule="auto"/>
        <w:jc w:val="both"/>
        <w:rPr>
          <w:rFonts w:ascii="Times New Roman" w:hAnsi="Times New Roman"/>
          <w:sz w:val="28"/>
          <w:szCs w:val="28"/>
          <w:lang w:val="uk-UA" w:eastAsia="ru-RU"/>
        </w:rPr>
      </w:pPr>
      <w:r w:rsidRPr="00D054B8">
        <w:rPr>
          <w:rFonts w:ascii="Times New Roman" w:hAnsi="Times New Roman"/>
          <w:sz w:val="28"/>
          <w:szCs w:val="28"/>
          <w:lang w:val="uk-UA" w:eastAsia="ru-RU"/>
        </w:rPr>
        <w:t>•КНД 211.2.4.062-97 «Метрологічне забезпечення. Внутрішній та зовнішній контроль якості вимірювань складу і властивостей проб викидів забруднюючих речовин в атмосферне повітря».</w:t>
      </w:r>
    </w:p>
    <w:p w:rsidR="00E4719B" w:rsidRPr="00D054B8" w:rsidRDefault="00E4719B" w:rsidP="00F85F35">
      <w:pPr>
        <w:spacing w:after="0" w:line="240" w:lineRule="auto"/>
        <w:ind w:firstLine="708"/>
        <w:jc w:val="both"/>
        <w:rPr>
          <w:rFonts w:ascii="Times New Roman" w:hAnsi="Times New Roman"/>
          <w:sz w:val="28"/>
          <w:szCs w:val="28"/>
          <w:lang w:val="uk-UA" w:eastAsia="ru-RU"/>
        </w:rPr>
      </w:pPr>
      <w:r w:rsidRPr="00D054B8">
        <w:rPr>
          <w:rFonts w:ascii="Times New Roman" w:hAnsi="Times New Roman"/>
          <w:sz w:val="28"/>
          <w:szCs w:val="28"/>
          <w:lang w:val="uk-UA" w:eastAsia="ru-RU"/>
        </w:rPr>
        <w:t>З метою забезпечення мережі лабораторій нормативною документацією було випущено збірник нормативних документів «Біотестування у природоохоронній практиці» та «Якість вимірювань складу та властивостей об'єктів довкілля та джерел їх забруднення».</w:t>
      </w:r>
    </w:p>
    <w:p w:rsidR="00E4719B" w:rsidRPr="00D054B8" w:rsidRDefault="00E4719B" w:rsidP="00F85F35">
      <w:pPr>
        <w:spacing w:after="0" w:line="240" w:lineRule="auto"/>
        <w:ind w:firstLine="708"/>
        <w:jc w:val="both"/>
        <w:rPr>
          <w:rFonts w:ascii="Times New Roman" w:hAnsi="Times New Roman"/>
          <w:sz w:val="28"/>
          <w:szCs w:val="28"/>
          <w:lang w:val="uk-UA" w:eastAsia="ru-RU"/>
        </w:rPr>
      </w:pPr>
      <w:r w:rsidRPr="00D054B8">
        <w:rPr>
          <w:rFonts w:ascii="Times New Roman" w:hAnsi="Times New Roman"/>
          <w:sz w:val="28"/>
          <w:szCs w:val="28"/>
          <w:lang w:val="uk-UA" w:eastAsia="ru-RU"/>
        </w:rPr>
        <w:t>Однією з центральних ланок метрологічної служби Міністерства є мережа аналітичних лабораторій місцевих органів, яка має забезпечити органи прийняття-управлінських рішень у галузі охорони навколишнього природного середовища якісною та арбітражно захищеною інформацією про вплив господарської діяльності на стан довкілля.</w:t>
      </w:r>
    </w:p>
    <w:p w:rsidR="00E4719B" w:rsidRPr="00D054B8" w:rsidRDefault="00E4719B" w:rsidP="00F85F35">
      <w:pPr>
        <w:spacing w:after="0" w:line="240" w:lineRule="auto"/>
        <w:ind w:firstLine="708"/>
        <w:jc w:val="both"/>
        <w:rPr>
          <w:rFonts w:ascii="Times New Roman" w:hAnsi="Times New Roman"/>
          <w:sz w:val="28"/>
          <w:szCs w:val="28"/>
          <w:lang w:val="uk-UA" w:eastAsia="ru-RU"/>
        </w:rPr>
      </w:pPr>
      <w:r w:rsidRPr="00D054B8">
        <w:rPr>
          <w:rFonts w:ascii="Times New Roman" w:hAnsi="Times New Roman"/>
          <w:sz w:val="28"/>
          <w:szCs w:val="28"/>
          <w:lang w:val="uk-UA" w:eastAsia="ru-RU"/>
        </w:rPr>
        <w:t>З метою підвищення рівня якості виконання аналітичних робіт підрозділами Міністерства в рамках виконання гранту Світового Банку Міністерством було проведено Перший міжлабораторний експеримент у відповідності з вимогами міжнародних нормативних документів.</w:t>
      </w:r>
    </w:p>
    <w:p w:rsidR="00E4719B" w:rsidRPr="00D054B8" w:rsidRDefault="00E4719B" w:rsidP="00F85F35">
      <w:pPr>
        <w:spacing w:after="0" w:line="240" w:lineRule="auto"/>
        <w:ind w:firstLine="708"/>
        <w:jc w:val="both"/>
        <w:rPr>
          <w:rFonts w:ascii="Times New Roman" w:hAnsi="Times New Roman"/>
          <w:sz w:val="28"/>
          <w:szCs w:val="28"/>
          <w:lang w:val="uk-UA" w:eastAsia="ru-RU"/>
        </w:rPr>
      </w:pPr>
      <w:r w:rsidRPr="00D054B8">
        <w:rPr>
          <w:rFonts w:ascii="Times New Roman" w:hAnsi="Times New Roman"/>
          <w:sz w:val="28"/>
          <w:szCs w:val="28"/>
          <w:lang w:val="uk-UA" w:eastAsia="ru-RU"/>
        </w:rPr>
        <w:t>Результати експерименту дають можливість виявляти слабкі місця в системі інформаційного забезпечення процесу прийняття управлінських рішень та розроблювати заходи по вирішенню виявлених проблем.</w:t>
      </w:r>
    </w:p>
    <w:p w:rsidR="00E4719B" w:rsidRPr="00D054B8" w:rsidRDefault="00E4719B" w:rsidP="00CC24E4">
      <w:pPr>
        <w:spacing w:after="0" w:line="240" w:lineRule="auto"/>
        <w:jc w:val="both"/>
        <w:outlineLvl w:val="1"/>
        <w:rPr>
          <w:rFonts w:ascii="Times New Roman" w:hAnsi="Times New Roman"/>
          <w:bCs/>
          <w:sz w:val="28"/>
          <w:szCs w:val="28"/>
          <w:lang w:val="uk-UA" w:eastAsia="ru-RU"/>
        </w:rPr>
      </w:pPr>
    </w:p>
    <w:p w:rsidR="00E4719B" w:rsidRPr="00D054B8" w:rsidRDefault="00E4719B" w:rsidP="00F85F35">
      <w:pPr>
        <w:spacing w:after="0" w:line="240" w:lineRule="auto"/>
        <w:ind w:firstLine="708"/>
        <w:jc w:val="both"/>
        <w:rPr>
          <w:rFonts w:ascii="Times New Roman" w:hAnsi="Times New Roman"/>
          <w:sz w:val="28"/>
          <w:szCs w:val="28"/>
          <w:lang w:val="uk-UA" w:eastAsia="ru-RU"/>
        </w:rPr>
      </w:pPr>
      <w:r w:rsidRPr="00D054B8">
        <w:rPr>
          <w:rFonts w:ascii="Times New Roman" w:hAnsi="Times New Roman"/>
          <w:sz w:val="28"/>
          <w:szCs w:val="28"/>
          <w:lang w:val="uk-UA" w:eastAsia="ru-RU"/>
        </w:rPr>
        <w:t>2. Критерії оцінки стану навколишнього середовища.</w:t>
      </w:r>
    </w:p>
    <w:p w:rsidR="00E4719B" w:rsidRPr="00D054B8" w:rsidRDefault="00E4719B" w:rsidP="00131B1A">
      <w:pPr>
        <w:pStyle w:val="NormalWeb"/>
        <w:spacing w:before="0" w:beforeAutospacing="0" w:after="0" w:afterAutospacing="0"/>
        <w:ind w:firstLine="708"/>
        <w:jc w:val="both"/>
        <w:rPr>
          <w:sz w:val="28"/>
          <w:szCs w:val="28"/>
          <w:lang w:val="uk-UA"/>
        </w:rPr>
      </w:pPr>
      <w:r w:rsidRPr="00D054B8">
        <w:rPr>
          <w:sz w:val="28"/>
          <w:szCs w:val="28"/>
          <w:lang w:val="uk-UA"/>
        </w:rPr>
        <w:t xml:space="preserve">Для оцінки чинників і ефектів дії на середовище необхідно користуватися встановленими критеріями. При визначенні цих критеріїв враховуються геофізичні і економічні фактори. Висока якість середовища зберігається, якщо зміни її стану відбуваються в межах допустимих кордонів, і невеликі зміни якості середовища не впливають на її нормальне функціонування. </w:t>
      </w:r>
    </w:p>
    <w:p w:rsidR="00E4719B" w:rsidRPr="00D054B8" w:rsidRDefault="00E4719B" w:rsidP="00131B1A">
      <w:pPr>
        <w:pStyle w:val="NormalWeb"/>
        <w:spacing w:before="0" w:beforeAutospacing="0" w:after="0" w:afterAutospacing="0"/>
        <w:ind w:firstLine="708"/>
        <w:jc w:val="both"/>
        <w:rPr>
          <w:sz w:val="28"/>
          <w:szCs w:val="28"/>
          <w:lang w:val="uk-UA"/>
        </w:rPr>
      </w:pPr>
      <w:r w:rsidRPr="00D054B8">
        <w:rPr>
          <w:sz w:val="28"/>
          <w:szCs w:val="28"/>
          <w:lang w:val="uk-UA"/>
        </w:rPr>
        <w:t>За первинне визначення береться фоновий стан середовища за відсутності впливу будь-яких дій з урахуванням середніх метеорологічних умов. Різниця між гранично допустимим і фактичним станом середовища складає екологічний резерв довкілля. Він характеризує її здатність до відновлення, відтворенню і є основою для розрахунку допустимих навантажень. Розрізняють два підходи визначення допустимих навантажень: санітарно-гігієнічний і екологічний підходи. Вони розрізняються рівнем вимоги.</w:t>
      </w:r>
    </w:p>
    <w:p w:rsidR="00E4719B" w:rsidRPr="00D054B8" w:rsidRDefault="00E4719B" w:rsidP="00131B1A">
      <w:pPr>
        <w:pStyle w:val="NormalWeb"/>
        <w:spacing w:before="0" w:beforeAutospacing="0" w:after="0" w:afterAutospacing="0"/>
        <w:ind w:firstLine="708"/>
        <w:jc w:val="both"/>
        <w:rPr>
          <w:sz w:val="28"/>
          <w:szCs w:val="28"/>
          <w:lang w:val="uk-UA"/>
        </w:rPr>
      </w:pPr>
      <w:r w:rsidRPr="00D054B8">
        <w:rPr>
          <w:sz w:val="28"/>
          <w:szCs w:val="28"/>
          <w:lang w:val="uk-UA"/>
        </w:rPr>
        <w:t>До критеріїв оцінки відносної небезпеки поширення в навколишнє середовище різних забруднень відносять:</w:t>
      </w:r>
    </w:p>
    <w:p w:rsidR="00E4719B" w:rsidRPr="00D054B8" w:rsidRDefault="00E4719B" w:rsidP="008E338C">
      <w:pPr>
        <w:pStyle w:val="NormalWeb"/>
        <w:spacing w:before="0" w:beforeAutospacing="0" w:after="0" w:afterAutospacing="0"/>
        <w:ind w:left="710"/>
        <w:jc w:val="both"/>
        <w:rPr>
          <w:sz w:val="28"/>
          <w:szCs w:val="28"/>
          <w:lang w:val="uk-UA"/>
        </w:rPr>
      </w:pPr>
      <w:r w:rsidRPr="00D054B8">
        <w:rPr>
          <w:sz w:val="28"/>
          <w:szCs w:val="28"/>
        </w:rPr>
        <w:t xml:space="preserve">●ГДК </w:t>
      </w:r>
      <w:r w:rsidRPr="00D054B8">
        <w:rPr>
          <w:sz w:val="28"/>
          <w:szCs w:val="28"/>
          <w:lang w:val="uk-UA"/>
        </w:rPr>
        <w:t xml:space="preserve">- </w:t>
      </w:r>
      <w:r w:rsidRPr="00D054B8">
        <w:rPr>
          <w:sz w:val="28"/>
          <w:szCs w:val="28"/>
        </w:rPr>
        <w:t>гранично допустим</w:t>
      </w:r>
      <w:r w:rsidRPr="00D054B8">
        <w:rPr>
          <w:sz w:val="28"/>
          <w:szCs w:val="28"/>
          <w:lang w:val="uk-UA"/>
        </w:rPr>
        <w:t>а</w:t>
      </w:r>
      <w:r w:rsidRPr="00D054B8">
        <w:rPr>
          <w:sz w:val="28"/>
          <w:szCs w:val="28"/>
        </w:rPr>
        <w:t xml:space="preserve"> концентрацію, </w:t>
      </w:r>
    </w:p>
    <w:p w:rsidR="00E4719B" w:rsidRPr="00D054B8" w:rsidRDefault="00E4719B" w:rsidP="008E338C">
      <w:pPr>
        <w:pStyle w:val="NormalWeb"/>
        <w:spacing w:before="0" w:beforeAutospacing="0" w:after="0" w:afterAutospacing="0"/>
        <w:ind w:left="710"/>
        <w:jc w:val="both"/>
        <w:rPr>
          <w:sz w:val="28"/>
          <w:szCs w:val="28"/>
          <w:lang w:val="uk-UA"/>
        </w:rPr>
      </w:pPr>
      <w:r w:rsidRPr="00D054B8">
        <w:rPr>
          <w:sz w:val="28"/>
          <w:szCs w:val="28"/>
        </w:rPr>
        <w:t xml:space="preserve">ГДК </w:t>
      </w:r>
      <w:r w:rsidRPr="00D054B8">
        <w:rPr>
          <w:sz w:val="28"/>
          <w:szCs w:val="28"/>
          <w:lang w:val="uk-UA"/>
        </w:rPr>
        <w:t>встановлюється головними санітарними інспекціями в законодавчому порядку або рекомендується відповідними організаціями, комісіями на основі результатів складних експериментів, а також відомостей, отриманих в час або після різних аварій, катастроф і так далі</w:t>
      </w:r>
    </w:p>
    <w:p w:rsidR="00E4719B" w:rsidRPr="00D054B8" w:rsidRDefault="00E4719B" w:rsidP="008E338C">
      <w:pPr>
        <w:pStyle w:val="NormalWeb"/>
        <w:spacing w:before="0" w:beforeAutospacing="0" w:after="0" w:afterAutospacing="0"/>
        <w:jc w:val="both"/>
        <w:rPr>
          <w:sz w:val="28"/>
          <w:szCs w:val="28"/>
          <w:lang w:val="uk-UA"/>
        </w:rPr>
      </w:pPr>
      <w:r w:rsidRPr="00D054B8">
        <w:rPr>
          <w:sz w:val="28"/>
          <w:szCs w:val="28"/>
          <w:lang w:val="uk-UA"/>
        </w:rPr>
        <w:t xml:space="preserve">ГДК в різних країнах часто відрізняється, при визначенні враховують не лише рівень дії забрудників на здоров'я людини, але і їх дію на живі організми. </w:t>
      </w:r>
    </w:p>
    <w:p w:rsidR="00E4719B" w:rsidRPr="00D054B8" w:rsidRDefault="00E4719B" w:rsidP="00131B1A">
      <w:pPr>
        <w:pStyle w:val="NormalWeb"/>
        <w:spacing w:before="0" w:beforeAutospacing="0" w:after="0" w:afterAutospacing="0"/>
        <w:ind w:firstLine="708"/>
        <w:jc w:val="both"/>
        <w:rPr>
          <w:sz w:val="28"/>
          <w:szCs w:val="28"/>
          <w:lang w:val="uk-UA"/>
        </w:rPr>
      </w:pPr>
    </w:p>
    <w:p w:rsidR="00E4719B" w:rsidRPr="00D054B8" w:rsidRDefault="00E4719B" w:rsidP="00131B1A">
      <w:pPr>
        <w:pStyle w:val="NormalWeb"/>
        <w:spacing w:before="0" w:beforeAutospacing="0" w:after="0" w:afterAutospacing="0"/>
        <w:ind w:left="710"/>
        <w:jc w:val="both"/>
        <w:rPr>
          <w:sz w:val="28"/>
          <w:szCs w:val="28"/>
          <w:lang w:val="uk-UA"/>
        </w:rPr>
      </w:pPr>
      <w:r w:rsidRPr="00D054B8">
        <w:rPr>
          <w:sz w:val="28"/>
          <w:szCs w:val="28"/>
        </w:rPr>
        <w:t>●ГДВ</w:t>
      </w:r>
      <w:r w:rsidRPr="00D054B8">
        <w:rPr>
          <w:sz w:val="28"/>
          <w:szCs w:val="28"/>
          <w:lang w:val="uk-UA"/>
        </w:rPr>
        <w:t>-</w:t>
      </w:r>
      <w:r w:rsidRPr="00D054B8">
        <w:rPr>
          <w:sz w:val="28"/>
          <w:szCs w:val="28"/>
        </w:rPr>
        <w:t xml:space="preserve"> гранично допустимий викид </w:t>
      </w:r>
    </w:p>
    <w:p w:rsidR="00E4719B" w:rsidRPr="00D054B8" w:rsidRDefault="00E4719B" w:rsidP="008E338C">
      <w:pPr>
        <w:pStyle w:val="NormalWeb"/>
        <w:spacing w:before="0" w:beforeAutospacing="0" w:after="0" w:afterAutospacing="0"/>
        <w:ind w:left="710"/>
        <w:jc w:val="both"/>
        <w:rPr>
          <w:sz w:val="28"/>
          <w:szCs w:val="28"/>
          <w:lang w:val="uk-UA"/>
        </w:rPr>
      </w:pPr>
      <w:r w:rsidRPr="00D054B8">
        <w:rPr>
          <w:sz w:val="28"/>
          <w:szCs w:val="28"/>
          <w:lang w:val="uk-UA"/>
        </w:rPr>
        <w:t>ГДВ - це кількість шкідливих речовин, яка не повинна перевищуватися під час викиду в повітря за одиницю часу, або концентрація забрудників повітря на межі санітарної зони не була вища чим ГДК.</w:t>
      </w:r>
    </w:p>
    <w:p w:rsidR="00E4719B" w:rsidRPr="00D054B8" w:rsidRDefault="00E4719B" w:rsidP="009B6501">
      <w:pPr>
        <w:pStyle w:val="NormalWeb"/>
        <w:spacing w:before="0" w:beforeAutospacing="0" w:after="0" w:afterAutospacing="0"/>
        <w:ind w:left="710" w:firstLine="706"/>
        <w:jc w:val="both"/>
        <w:rPr>
          <w:sz w:val="28"/>
          <w:szCs w:val="28"/>
          <w:lang w:val="uk-UA"/>
        </w:rPr>
      </w:pPr>
      <w:r w:rsidRPr="00D054B8">
        <w:rPr>
          <w:sz w:val="28"/>
          <w:szCs w:val="28"/>
          <w:lang w:val="uk-UA"/>
        </w:rPr>
        <w:t xml:space="preserve"> Нормативні ГДВ шкідливих речовин в атмосферу, водоймища, грунт, надра і шкідливих інших хімічних, фізичних, біологічних дій на природне довкілля встановлюються для кожного стаціонарного джерела викидів або іншої шкідливої дії, для кожної моделі транспортних і інших пересувних засобів і установок. ГДВ визначаються на рівні, при якому викиди забруднюючих речовин і інші шкідливі дії від конкретного і всіх інших джерел в даному районі з врахуванням перспективи його розвитку не приведуть до перевищення ГДК, що діють в даному районі”.</w:t>
      </w:r>
    </w:p>
    <w:p w:rsidR="00E4719B" w:rsidRPr="00D054B8" w:rsidRDefault="00E4719B" w:rsidP="00131B1A">
      <w:pPr>
        <w:pStyle w:val="NormalWeb"/>
        <w:spacing w:before="0" w:beforeAutospacing="0" w:after="0" w:afterAutospacing="0"/>
        <w:ind w:left="710"/>
        <w:jc w:val="both"/>
        <w:rPr>
          <w:sz w:val="28"/>
          <w:szCs w:val="28"/>
          <w:lang w:val="uk-UA"/>
        </w:rPr>
      </w:pPr>
    </w:p>
    <w:p w:rsidR="00E4719B" w:rsidRPr="00D054B8" w:rsidRDefault="00E4719B" w:rsidP="00131B1A">
      <w:pPr>
        <w:pStyle w:val="NormalWeb"/>
        <w:spacing w:before="0" w:beforeAutospacing="0" w:after="0" w:afterAutospacing="0"/>
        <w:ind w:left="710"/>
        <w:jc w:val="both"/>
        <w:rPr>
          <w:sz w:val="28"/>
          <w:szCs w:val="28"/>
          <w:lang w:val="uk-UA"/>
        </w:rPr>
      </w:pPr>
      <w:r w:rsidRPr="00D054B8">
        <w:rPr>
          <w:sz w:val="28"/>
          <w:szCs w:val="28"/>
          <w:lang w:val="uk-UA"/>
        </w:rPr>
        <w:t>● Стрес-індекс враховує об'єм шкідливих речовин, що поступають в довкілля, міру їх шкідливої дії на природу, людину і об'єкти її господарської діяльності.</w:t>
      </w:r>
    </w:p>
    <w:p w:rsidR="00E4719B" w:rsidRPr="00D054B8" w:rsidRDefault="00E4719B" w:rsidP="00B51D15">
      <w:pPr>
        <w:pStyle w:val="NormalWeb"/>
        <w:spacing w:before="0" w:beforeAutospacing="0" w:after="0" w:afterAutospacing="0"/>
        <w:ind w:firstLine="708"/>
        <w:jc w:val="both"/>
        <w:rPr>
          <w:sz w:val="28"/>
          <w:szCs w:val="28"/>
          <w:lang w:val="uk-UA"/>
        </w:rPr>
      </w:pPr>
      <w:r w:rsidRPr="00D054B8">
        <w:rPr>
          <w:sz w:val="28"/>
          <w:szCs w:val="28"/>
        </w:rPr>
        <w:t>●ГДЕН</w:t>
      </w:r>
      <w:r w:rsidRPr="00D054B8">
        <w:rPr>
          <w:sz w:val="28"/>
          <w:szCs w:val="28"/>
          <w:lang w:val="uk-UA"/>
        </w:rPr>
        <w:t xml:space="preserve"> - </w:t>
      </w:r>
      <w:r w:rsidRPr="00D054B8">
        <w:rPr>
          <w:sz w:val="28"/>
          <w:szCs w:val="28"/>
        </w:rPr>
        <w:t xml:space="preserve">гранично допустимі екологічні навантаження , </w:t>
      </w:r>
    </w:p>
    <w:p w:rsidR="00E4719B" w:rsidRPr="00D054B8" w:rsidRDefault="00E4719B" w:rsidP="00B51D15">
      <w:pPr>
        <w:pStyle w:val="NormalWeb"/>
        <w:spacing w:before="0" w:beforeAutospacing="0" w:after="0" w:afterAutospacing="0"/>
        <w:ind w:firstLine="708"/>
        <w:jc w:val="both"/>
        <w:rPr>
          <w:sz w:val="28"/>
          <w:szCs w:val="28"/>
          <w:lang w:val="uk-UA"/>
        </w:rPr>
      </w:pPr>
      <w:r w:rsidRPr="00D054B8">
        <w:rPr>
          <w:sz w:val="28"/>
          <w:szCs w:val="28"/>
        </w:rPr>
        <w:t>●</w:t>
      </w:r>
      <w:r w:rsidRPr="00D054B8">
        <w:rPr>
          <w:sz w:val="28"/>
          <w:szCs w:val="28"/>
          <w:lang w:val="uk-UA"/>
        </w:rPr>
        <w:t>Г</w:t>
      </w:r>
      <w:r w:rsidRPr="00D054B8">
        <w:rPr>
          <w:sz w:val="28"/>
          <w:szCs w:val="28"/>
        </w:rPr>
        <w:t>ДР</w:t>
      </w:r>
      <w:r w:rsidRPr="00D054B8">
        <w:rPr>
          <w:sz w:val="28"/>
          <w:szCs w:val="28"/>
          <w:lang w:val="uk-UA"/>
        </w:rPr>
        <w:t xml:space="preserve"> - </w:t>
      </w:r>
      <w:r w:rsidRPr="00D054B8">
        <w:rPr>
          <w:sz w:val="28"/>
          <w:szCs w:val="28"/>
        </w:rPr>
        <w:t xml:space="preserve">гранично допустимий рівень </w:t>
      </w:r>
    </w:p>
    <w:p w:rsidR="00E4719B" w:rsidRPr="00D054B8" w:rsidRDefault="00E4719B" w:rsidP="00B51D15">
      <w:pPr>
        <w:pStyle w:val="NormalWeb"/>
        <w:spacing w:before="0" w:beforeAutospacing="0" w:after="0" w:afterAutospacing="0"/>
        <w:ind w:firstLine="708"/>
        <w:jc w:val="both"/>
        <w:rPr>
          <w:sz w:val="28"/>
          <w:szCs w:val="28"/>
          <w:lang w:val="uk-UA"/>
        </w:rPr>
      </w:pPr>
    </w:p>
    <w:p w:rsidR="00E4719B" w:rsidRPr="00D054B8" w:rsidRDefault="00E4719B" w:rsidP="00B51D15">
      <w:pPr>
        <w:pStyle w:val="NormalWeb"/>
        <w:spacing w:before="0" w:beforeAutospacing="0" w:after="0" w:afterAutospacing="0"/>
        <w:ind w:firstLine="708"/>
        <w:jc w:val="both"/>
        <w:rPr>
          <w:sz w:val="28"/>
          <w:szCs w:val="28"/>
          <w:lang w:val="uk-UA"/>
        </w:rPr>
      </w:pPr>
      <w:r w:rsidRPr="00D054B8">
        <w:rPr>
          <w:sz w:val="28"/>
          <w:szCs w:val="28"/>
        </w:rPr>
        <w:t>●МДР</w:t>
      </w:r>
      <w:r w:rsidRPr="00D054B8">
        <w:rPr>
          <w:sz w:val="28"/>
          <w:szCs w:val="28"/>
          <w:lang w:val="uk-UA"/>
        </w:rPr>
        <w:t xml:space="preserve"> - </w:t>
      </w:r>
      <w:r w:rsidRPr="00D054B8">
        <w:rPr>
          <w:sz w:val="28"/>
          <w:szCs w:val="28"/>
        </w:rPr>
        <w:t xml:space="preserve">максимально допустимий рівень </w:t>
      </w:r>
    </w:p>
    <w:p w:rsidR="00E4719B" w:rsidRPr="00D054B8" w:rsidRDefault="00E4719B" w:rsidP="00B51D15">
      <w:pPr>
        <w:pStyle w:val="NormalWeb"/>
        <w:spacing w:before="0" w:beforeAutospacing="0" w:after="0" w:afterAutospacing="0"/>
        <w:ind w:firstLine="708"/>
        <w:jc w:val="both"/>
        <w:rPr>
          <w:sz w:val="28"/>
          <w:szCs w:val="28"/>
          <w:lang w:val="uk-UA"/>
        </w:rPr>
      </w:pPr>
      <w:r w:rsidRPr="00D054B8">
        <w:rPr>
          <w:sz w:val="28"/>
          <w:szCs w:val="28"/>
          <w:lang w:val="uk-UA"/>
        </w:rPr>
        <w:t xml:space="preserve">●КЕС кризисні екологічні ситуації </w:t>
      </w:r>
    </w:p>
    <w:p w:rsidR="00E4719B" w:rsidRPr="00D054B8" w:rsidRDefault="00E4719B" w:rsidP="00B51D15">
      <w:pPr>
        <w:pStyle w:val="NormalWeb"/>
        <w:spacing w:before="0" w:beforeAutospacing="0" w:after="0" w:afterAutospacing="0"/>
        <w:ind w:firstLine="708"/>
        <w:jc w:val="both"/>
        <w:rPr>
          <w:sz w:val="28"/>
          <w:szCs w:val="28"/>
          <w:lang w:val="uk-UA"/>
        </w:rPr>
      </w:pPr>
      <w:r w:rsidRPr="00D054B8">
        <w:rPr>
          <w:sz w:val="28"/>
          <w:szCs w:val="28"/>
          <w:lang w:val="uk-UA"/>
        </w:rPr>
        <w:t>●Нормативи добування корисних компонентів з природи: корисних копалини, комплексне використання відходів, врожайність сільськогосподарських культур.</w:t>
      </w:r>
    </w:p>
    <w:p w:rsidR="00E4719B" w:rsidRPr="00D054B8" w:rsidRDefault="00E4719B" w:rsidP="00B51D15">
      <w:pPr>
        <w:pStyle w:val="NormalWeb"/>
        <w:spacing w:before="0" w:beforeAutospacing="0" w:after="0" w:afterAutospacing="0"/>
        <w:ind w:firstLine="708"/>
        <w:jc w:val="both"/>
        <w:rPr>
          <w:sz w:val="28"/>
          <w:szCs w:val="28"/>
        </w:rPr>
      </w:pPr>
      <w:r w:rsidRPr="00D054B8">
        <w:rPr>
          <w:sz w:val="28"/>
          <w:szCs w:val="28"/>
        </w:rPr>
        <w:t xml:space="preserve">●Нормативи надійності </w:t>
      </w:r>
      <w:r w:rsidRPr="00D054B8">
        <w:rPr>
          <w:sz w:val="28"/>
          <w:szCs w:val="28"/>
          <w:lang w:val="uk-UA"/>
        </w:rPr>
        <w:t>будівель</w:t>
      </w:r>
      <w:r w:rsidRPr="00D054B8">
        <w:rPr>
          <w:sz w:val="28"/>
          <w:szCs w:val="28"/>
        </w:rPr>
        <w:t xml:space="preserve"> (інженерних споруд) з точки зору їх дії на довкілля.</w:t>
      </w:r>
    </w:p>
    <w:p w:rsidR="00E4719B" w:rsidRPr="00D054B8" w:rsidRDefault="00E4719B" w:rsidP="00B51D15">
      <w:pPr>
        <w:pStyle w:val="NormalWeb"/>
        <w:spacing w:before="0" w:beforeAutospacing="0" w:after="0" w:afterAutospacing="0"/>
        <w:ind w:firstLine="708"/>
        <w:jc w:val="both"/>
        <w:rPr>
          <w:sz w:val="28"/>
          <w:szCs w:val="28"/>
        </w:rPr>
      </w:pPr>
      <w:r w:rsidRPr="00D054B8">
        <w:rPr>
          <w:sz w:val="28"/>
          <w:szCs w:val="28"/>
        </w:rPr>
        <w:t>●Параметри допустимості природоперетворення підприємств (осушення, забудова).</w:t>
      </w:r>
    </w:p>
    <w:p w:rsidR="00E4719B" w:rsidRPr="00D054B8" w:rsidRDefault="00E4719B" w:rsidP="00B51D15">
      <w:pPr>
        <w:pStyle w:val="NormalWeb"/>
        <w:spacing w:before="0" w:beforeAutospacing="0" w:after="0" w:afterAutospacing="0"/>
        <w:ind w:firstLine="708"/>
        <w:jc w:val="both"/>
        <w:rPr>
          <w:sz w:val="28"/>
          <w:szCs w:val="28"/>
        </w:rPr>
      </w:pPr>
      <w:r w:rsidRPr="00D054B8">
        <w:rPr>
          <w:sz w:val="28"/>
          <w:szCs w:val="28"/>
        </w:rPr>
        <w:t>●Показник стійкості природних комплексів і їх компонентів.</w:t>
      </w:r>
    </w:p>
    <w:p w:rsidR="00E4719B" w:rsidRPr="00D054B8" w:rsidRDefault="00E4719B" w:rsidP="00B51D15">
      <w:pPr>
        <w:pStyle w:val="NormalWeb"/>
        <w:spacing w:before="0" w:beforeAutospacing="0" w:after="0" w:afterAutospacing="0"/>
        <w:ind w:firstLine="708"/>
        <w:jc w:val="both"/>
        <w:rPr>
          <w:sz w:val="28"/>
          <w:szCs w:val="28"/>
        </w:rPr>
      </w:pPr>
      <w:r w:rsidRPr="00D054B8">
        <w:rPr>
          <w:sz w:val="28"/>
          <w:szCs w:val="28"/>
        </w:rPr>
        <w:t xml:space="preserve">●Показник </w:t>
      </w:r>
      <w:r w:rsidRPr="00D054B8">
        <w:rPr>
          <w:sz w:val="28"/>
          <w:szCs w:val="28"/>
          <w:lang w:val="uk-UA"/>
        </w:rPr>
        <w:t>п</w:t>
      </w:r>
      <w:r w:rsidRPr="00D054B8">
        <w:rPr>
          <w:sz w:val="28"/>
          <w:szCs w:val="28"/>
        </w:rPr>
        <w:t xml:space="preserve">оширення речовин </w:t>
      </w:r>
      <w:r w:rsidRPr="00D054B8">
        <w:rPr>
          <w:sz w:val="28"/>
          <w:szCs w:val="28"/>
          <w:lang w:val="uk-UA"/>
        </w:rPr>
        <w:t>у</w:t>
      </w:r>
      <w:r w:rsidRPr="00D054B8">
        <w:rPr>
          <w:sz w:val="28"/>
          <w:szCs w:val="28"/>
        </w:rPr>
        <w:t xml:space="preserve"> довкілл</w:t>
      </w:r>
      <w:r w:rsidRPr="00D054B8">
        <w:rPr>
          <w:sz w:val="28"/>
          <w:szCs w:val="28"/>
          <w:lang w:val="uk-UA"/>
        </w:rPr>
        <w:t>я</w:t>
      </w:r>
      <w:r w:rsidRPr="00D054B8">
        <w:rPr>
          <w:sz w:val="28"/>
          <w:szCs w:val="28"/>
        </w:rPr>
        <w:t>.</w:t>
      </w:r>
    </w:p>
    <w:p w:rsidR="00E4719B" w:rsidRPr="00D054B8" w:rsidRDefault="00E4719B" w:rsidP="00B51D15">
      <w:pPr>
        <w:pStyle w:val="NormalWeb"/>
        <w:spacing w:before="0" w:beforeAutospacing="0" w:after="0" w:afterAutospacing="0"/>
        <w:ind w:firstLine="708"/>
        <w:jc w:val="both"/>
        <w:rPr>
          <w:sz w:val="28"/>
          <w:szCs w:val="28"/>
        </w:rPr>
      </w:pPr>
      <w:r w:rsidRPr="00D054B8">
        <w:rPr>
          <w:sz w:val="28"/>
          <w:szCs w:val="28"/>
        </w:rPr>
        <w:t>Поширення забруднень обумовлене природними процесами і залежить від фізико-хімічних властивостей речовин; від фізичних процесів, пов'язаних з їх перенесенням, біологічних процесів, що беруть участь в глобальних процесах круговороту речовин. Циклічні процеси в окремих природних системах.</w:t>
      </w:r>
    </w:p>
    <w:p w:rsidR="00E4719B" w:rsidRPr="00D054B8" w:rsidRDefault="00E4719B" w:rsidP="008E338C">
      <w:pPr>
        <w:pStyle w:val="NormalWeb"/>
        <w:spacing w:before="0" w:beforeAutospacing="0" w:after="0" w:afterAutospacing="0"/>
        <w:ind w:firstLine="708"/>
        <w:jc w:val="both"/>
        <w:rPr>
          <w:sz w:val="28"/>
          <w:szCs w:val="28"/>
          <w:lang w:val="uk-UA"/>
        </w:rPr>
      </w:pPr>
      <w:r w:rsidRPr="00D054B8">
        <w:rPr>
          <w:sz w:val="28"/>
          <w:szCs w:val="28"/>
          <w:lang w:val="uk-UA"/>
        </w:rPr>
        <w:t>На поширення забруднень впливає також географічне положення регіону, його довкілля і природні умови. Ландшафт, погода, місце розташування, довколишні об'єкти - ці і інші чинники відповідають за швидкість поширення і концентрацію речовин у повітрі.</w:t>
      </w:r>
    </w:p>
    <w:p w:rsidR="00E4719B" w:rsidRPr="00D054B8" w:rsidRDefault="00E4719B" w:rsidP="00B51D15">
      <w:pPr>
        <w:pStyle w:val="NormalWeb"/>
        <w:spacing w:before="0" w:beforeAutospacing="0" w:after="0" w:afterAutospacing="0"/>
        <w:ind w:firstLine="708"/>
        <w:jc w:val="both"/>
        <w:rPr>
          <w:sz w:val="28"/>
          <w:szCs w:val="28"/>
          <w:lang w:val="uk-UA"/>
        </w:rPr>
      </w:pPr>
      <w:r w:rsidRPr="00D054B8">
        <w:rPr>
          <w:sz w:val="28"/>
          <w:szCs w:val="28"/>
          <w:lang w:val="uk-UA"/>
        </w:rPr>
        <w:t xml:space="preserve">Специфічними є екологічні проблеми для зон, де розміщені об'єкти підвищеного ризику: атомні електростанції, хімічні підприємства. </w:t>
      </w:r>
    </w:p>
    <w:p w:rsidR="00E4719B" w:rsidRPr="00D054B8" w:rsidRDefault="00E4719B" w:rsidP="00BB6548">
      <w:pPr>
        <w:rPr>
          <w:rFonts w:ascii="Times New Roman" w:hAnsi="Times New Roman"/>
          <w:sz w:val="28"/>
          <w:szCs w:val="28"/>
          <w:lang w:val="uk-UA" w:eastAsia="ru-RU"/>
        </w:rPr>
      </w:pPr>
    </w:p>
    <w:p w:rsidR="00E4719B" w:rsidRPr="00D054B8" w:rsidRDefault="00E4719B" w:rsidP="005C00E3">
      <w:pPr>
        <w:pStyle w:val="ListParagraph"/>
        <w:numPr>
          <w:ilvl w:val="0"/>
          <w:numId w:val="4"/>
        </w:numPr>
        <w:rPr>
          <w:rFonts w:ascii="Times New Roman" w:hAnsi="Times New Roman"/>
          <w:sz w:val="28"/>
          <w:szCs w:val="28"/>
          <w:lang w:val="uk-UA" w:eastAsia="ru-RU"/>
        </w:rPr>
      </w:pPr>
      <w:r w:rsidRPr="00D054B8">
        <w:rPr>
          <w:rFonts w:ascii="Times New Roman" w:hAnsi="Times New Roman"/>
          <w:sz w:val="28"/>
          <w:szCs w:val="28"/>
          <w:lang w:val="uk-UA" w:eastAsia="ru-RU"/>
        </w:rPr>
        <w:t>Національні та Міжнародні програми по охороні навколишнього середовища.</w:t>
      </w:r>
    </w:p>
    <w:p w:rsidR="00E4719B" w:rsidRPr="00D054B8" w:rsidRDefault="00E4719B" w:rsidP="00D93E7B">
      <w:pPr>
        <w:pStyle w:val="ListParagraph"/>
        <w:spacing w:after="0" w:line="240" w:lineRule="auto"/>
        <w:ind w:left="0"/>
        <w:jc w:val="both"/>
        <w:rPr>
          <w:rFonts w:ascii="Times New Roman" w:hAnsi="Times New Roman"/>
          <w:sz w:val="28"/>
          <w:szCs w:val="28"/>
          <w:lang w:val="uk-UA" w:eastAsia="ru-RU"/>
        </w:rPr>
      </w:pPr>
      <w:r w:rsidRPr="00D054B8">
        <w:rPr>
          <w:rFonts w:ascii="Times New Roman" w:hAnsi="Times New Roman"/>
          <w:sz w:val="28"/>
          <w:szCs w:val="28"/>
          <w:lang w:val="uk-UA" w:eastAsia="ru-RU"/>
        </w:rPr>
        <w:t xml:space="preserve">3.1.За роки становлення незалежності України було значно вдосконалено систему екологічного законодавства, значна частина норм якого спрямована на упередження проявів екологічного ризику і небезпеки від стихійних явищ, та негативного техногенного впливу, на здійснення раціонального і комплексного використання природних ресурсів, на відшкодування шкоди юридичним особам, заподіяної їх здоров'ю та майну внаслідок негативного впливу на навколишнє природне середовище. </w:t>
      </w:r>
    </w:p>
    <w:p w:rsidR="00E4719B" w:rsidRPr="00D054B8" w:rsidRDefault="00E4719B" w:rsidP="005C00E3">
      <w:pPr>
        <w:spacing w:after="0" w:line="240" w:lineRule="auto"/>
        <w:ind w:firstLine="708"/>
        <w:jc w:val="both"/>
        <w:rPr>
          <w:rFonts w:ascii="Times New Roman" w:hAnsi="Times New Roman"/>
          <w:sz w:val="28"/>
          <w:szCs w:val="28"/>
          <w:lang w:val="uk-UA" w:eastAsia="ru-RU"/>
        </w:rPr>
      </w:pPr>
      <w:r w:rsidRPr="00D054B8">
        <w:rPr>
          <w:rFonts w:ascii="Times New Roman" w:hAnsi="Times New Roman"/>
          <w:sz w:val="28"/>
          <w:szCs w:val="28"/>
          <w:lang w:val="uk-UA" w:eastAsia="ru-RU"/>
        </w:rPr>
        <w:t xml:space="preserve">Підзаконне регулювання закріплено прийняттям низки постанов та розпоряджень Кабінету Міністрів України. </w:t>
      </w:r>
    </w:p>
    <w:p w:rsidR="00E4719B" w:rsidRPr="00D054B8" w:rsidRDefault="00E4719B" w:rsidP="005C00E3">
      <w:pPr>
        <w:pStyle w:val="ListParagraph"/>
        <w:spacing w:after="0"/>
        <w:ind w:left="0" w:firstLine="708"/>
        <w:jc w:val="both"/>
        <w:rPr>
          <w:rFonts w:ascii="Times New Roman" w:hAnsi="Times New Roman"/>
          <w:sz w:val="28"/>
          <w:szCs w:val="28"/>
          <w:lang w:val="uk-UA" w:eastAsia="ru-RU"/>
        </w:rPr>
      </w:pPr>
    </w:p>
    <w:tbl>
      <w:tblPr>
        <w:tblW w:w="0" w:type="auto"/>
        <w:tblCellSpacing w:w="15" w:type="dxa"/>
        <w:tblInd w:w="-169" w:type="dxa"/>
        <w:tblCellMar>
          <w:top w:w="15" w:type="dxa"/>
          <w:left w:w="15" w:type="dxa"/>
          <w:bottom w:w="15" w:type="dxa"/>
          <w:right w:w="15" w:type="dxa"/>
        </w:tblCellMar>
        <w:tblLook w:val="00A0"/>
      </w:tblPr>
      <w:tblGrid>
        <w:gridCol w:w="9897"/>
      </w:tblGrid>
      <w:tr w:rsidR="00E4719B" w:rsidRPr="00D054B8" w:rsidTr="004279D4">
        <w:trPr>
          <w:tblCellSpacing w:w="15" w:type="dxa"/>
        </w:trPr>
        <w:tc>
          <w:tcPr>
            <w:tcW w:w="0" w:type="auto"/>
            <w:tcBorders>
              <w:top w:val="nil"/>
              <w:left w:val="nil"/>
              <w:bottom w:val="nil"/>
              <w:right w:val="nil"/>
            </w:tcBorders>
            <w:vAlign w:val="center"/>
          </w:tcPr>
          <w:p w:rsidR="00E4719B" w:rsidRPr="00D054B8" w:rsidRDefault="00E4719B" w:rsidP="005C00E3">
            <w:pPr>
              <w:spacing w:after="0" w:line="240" w:lineRule="auto"/>
              <w:ind w:left="169"/>
              <w:jc w:val="both"/>
              <w:rPr>
                <w:rFonts w:ascii="Times New Roman" w:hAnsi="Times New Roman"/>
                <w:sz w:val="28"/>
                <w:szCs w:val="28"/>
                <w:lang w:val="uk-UA" w:eastAsia="ru-RU"/>
              </w:rPr>
            </w:pPr>
            <w:r w:rsidRPr="00D054B8">
              <w:rPr>
                <w:rFonts w:ascii="Times New Roman" w:hAnsi="Times New Roman"/>
                <w:sz w:val="28"/>
                <w:szCs w:val="28"/>
                <w:lang w:val="uk-UA" w:eastAsia="ru-RU"/>
              </w:rPr>
              <w:t>Програма - це довгостроковий організаційно-економічний документ, що визначає стратегію і шляхи розв'язання однієї з найважливіших загальносуспільних проблем України - екологічного оздоровлення водних об'єктів басейну Дніпра та поліпшення якості питної води, яка є важливою складовою екологічної політики суспільства, орієнтованої на створення безпечних умов життя людини та відновлення природного середовища.</w:t>
            </w:r>
          </w:p>
        </w:tc>
      </w:tr>
      <w:tr w:rsidR="00E4719B" w:rsidRPr="00D054B8" w:rsidTr="004279D4">
        <w:trPr>
          <w:tblCellSpacing w:w="15" w:type="dxa"/>
        </w:trPr>
        <w:tc>
          <w:tcPr>
            <w:tcW w:w="0" w:type="auto"/>
            <w:tcBorders>
              <w:top w:val="nil"/>
              <w:left w:val="nil"/>
              <w:bottom w:val="nil"/>
              <w:right w:val="nil"/>
            </w:tcBorders>
            <w:vAlign w:val="center"/>
          </w:tcPr>
          <w:p w:rsidR="00E4719B" w:rsidRPr="00D054B8" w:rsidRDefault="00E4719B" w:rsidP="005C00E3">
            <w:pPr>
              <w:spacing w:after="0" w:line="240" w:lineRule="auto"/>
              <w:jc w:val="both"/>
              <w:rPr>
                <w:rFonts w:ascii="Times New Roman" w:hAnsi="Times New Roman"/>
                <w:sz w:val="28"/>
                <w:szCs w:val="28"/>
                <w:lang w:val="uk-UA" w:eastAsia="ru-RU"/>
              </w:rPr>
            </w:pPr>
          </w:p>
        </w:tc>
      </w:tr>
    </w:tbl>
    <w:p w:rsidR="00E4719B" w:rsidRPr="00D054B8" w:rsidRDefault="00E4719B" w:rsidP="005C00E3">
      <w:pPr>
        <w:pStyle w:val="ListParagraph"/>
        <w:spacing w:after="0"/>
        <w:ind w:left="0" w:firstLine="708"/>
        <w:rPr>
          <w:rFonts w:ascii="Times New Roman" w:hAnsi="Times New Roman"/>
          <w:bCs/>
          <w:sz w:val="28"/>
          <w:szCs w:val="28"/>
          <w:lang w:val="uk-UA" w:eastAsia="ru-RU"/>
        </w:rPr>
      </w:pPr>
    </w:p>
    <w:p w:rsidR="00E4719B" w:rsidRPr="00D054B8" w:rsidRDefault="00E4719B" w:rsidP="00D15DA4">
      <w:pPr>
        <w:spacing w:after="0" w:line="240" w:lineRule="auto"/>
        <w:ind w:firstLine="708"/>
        <w:jc w:val="both"/>
        <w:rPr>
          <w:rFonts w:ascii="Times New Roman" w:hAnsi="Times New Roman"/>
          <w:sz w:val="28"/>
          <w:szCs w:val="28"/>
          <w:lang w:val="uk-UA" w:eastAsia="ru-RU"/>
        </w:rPr>
      </w:pPr>
      <w:r w:rsidRPr="00D054B8">
        <w:rPr>
          <w:rFonts w:ascii="Times New Roman" w:hAnsi="Times New Roman"/>
          <w:sz w:val="28"/>
          <w:szCs w:val="28"/>
          <w:lang w:val="uk-UA" w:eastAsia="ru-RU"/>
        </w:rPr>
        <w:t>Верховною Радою України 27 лютого 1997 р. затверджено Національну програму екологічного оздоровлення басейну Дніпра та поліпшення якості питної води. Програму розроблено під керівництвом Надзвичайної комісії з проблем екологічного стану ріки Дніпро та якості питної води і Мінекобезпеки України за сприяння Фонду Відродження Дніпра та за участю зацікавлених органів виконавчої влади, установ та організацій.</w:t>
      </w:r>
    </w:p>
    <w:p w:rsidR="00E4719B" w:rsidRPr="00D054B8" w:rsidRDefault="00E4719B" w:rsidP="000D3424">
      <w:pPr>
        <w:spacing w:after="0" w:line="240" w:lineRule="auto"/>
        <w:ind w:firstLine="708"/>
        <w:jc w:val="both"/>
        <w:rPr>
          <w:rFonts w:ascii="Times New Roman" w:hAnsi="Times New Roman"/>
          <w:sz w:val="28"/>
          <w:szCs w:val="28"/>
          <w:lang w:val="uk-UA" w:eastAsia="ru-RU"/>
        </w:rPr>
      </w:pPr>
      <w:r w:rsidRPr="00D054B8">
        <w:rPr>
          <w:rFonts w:ascii="Times New Roman" w:hAnsi="Times New Roman"/>
          <w:sz w:val="28"/>
          <w:szCs w:val="28"/>
          <w:lang w:val="uk-UA" w:eastAsia="ru-RU"/>
        </w:rPr>
        <w:t>У галузі використання водних ресурсів - постанова Кабінету Міністрів України «Про затвердження нормативів плати за спеціальне використання водних ресурсів» від 8.02.97 р. № 164, якою вдосконалюється механізм збору плати за спеціальне їх використання. Платежі, в повному обсязі, спрямовуються на здійснення заходів щодо охорони вод, відтворення водних ресурсів і підтримання водних об'єктів у належному стані, а також на виконання робіт, пов'язаних із запобіганням шкідливій дії вод і ліквідацією її наслідків.</w:t>
      </w:r>
    </w:p>
    <w:p w:rsidR="00E4719B" w:rsidRPr="00D054B8" w:rsidRDefault="00E4719B" w:rsidP="000D3424">
      <w:pPr>
        <w:spacing w:after="0" w:line="240" w:lineRule="auto"/>
        <w:ind w:firstLine="708"/>
        <w:jc w:val="both"/>
        <w:rPr>
          <w:rFonts w:ascii="Times New Roman" w:hAnsi="Times New Roman"/>
          <w:sz w:val="28"/>
          <w:szCs w:val="28"/>
          <w:lang w:val="uk-UA" w:eastAsia="ru-RU"/>
        </w:rPr>
      </w:pPr>
      <w:r w:rsidRPr="00D054B8">
        <w:rPr>
          <w:rFonts w:ascii="Times New Roman" w:hAnsi="Times New Roman"/>
          <w:sz w:val="28"/>
          <w:szCs w:val="28"/>
          <w:lang w:val="uk-UA" w:eastAsia="ru-RU"/>
        </w:rPr>
        <w:t>У галузі використання надр - постанова Кабінету Міністрів України «Про затвердження базових нормативів плати за користування надрами для видобування корисних копалин та Порядку справляння плати за користування надрами для видобування корисних копалин» від 12 вересня 1997 р. № 1014, якою запроваджується диференційований підхід щодо користування надрами для видобування корисних копалин, залежно від геологічних особливостей родовищ та умов їх експлуатації, а також встановлюються єдині правила збору плати за користування надрами для видобування корисних копалин загальнодержавного та місцевого значення на території України в межах її континентального шельфу та виключної (морської) економічної зони. Плата справляється з усіх суб'єктів господарської діяльності незалежно від форм власності та підпорядкування, включаючи підприємства з іноземними інвестиціями.</w:t>
      </w:r>
    </w:p>
    <w:p w:rsidR="00E4719B" w:rsidRPr="00D054B8" w:rsidRDefault="00E4719B" w:rsidP="00D15DA4">
      <w:pPr>
        <w:spacing w:after="0" w:line="240" w:lineRule="auto"/>
        <w:ind w:firstLine="708"/>
        <w:jc w:val="both"/>
        <w:rPr>
          <w:rFonts w:ascii="Times New Roman" w:hAnsi="Times New Roman"/>
          <w:sz w:val="28"/>
          <w:szCs w:val="28"/>
          <w:lang w:val="uk-UA" w:eastAsia="ru-RU"/>
        </w:rPr>
      </w:pPr>
      <w:r w:rsidRPr="00D054B8">
        <w:rPr>
          <w:rFonts w:ascii="Times New Roman" w:hAnsi="Times New Roman"/>
          <w:sz w:val="28"/>
          <w:szCs w:val="28"/>
          <w:lang w:val="uk-UA" w:eastAsia="ru-RU"/>
        </w:rPr>
        <w:t>Мінекобезпеки України розроблені та затверджені власні нормативні документи. Це «Положення про Зелену книгу України», затверджене наказом Мінекобезпеки України від 19.02.1997 р. № 17, «Про затвердження Інструкції щодо стимулювання працівників та розвитку і зміцнення матеріально технічної бази спеціально уповноважених державних органів, стимулювання громадських інспекторів у галузі охорони природи та раціонального використання природних ресурсів», затвердженої спільним наказом Мінекобезпеки, Держкомлісгоспу, Держкомрибгоспу та Держкомзему від 20.10.1997 р. №167\97\24\105таінші.</w:t>
      </w:r>
    </w:p>
    <w:p w:rsidR="00E4719B" w:rsidRPr="00D054B8" w:rsidRDefault="00E4719B" w:rsidP="00662EE3">
      <w:pPr>
        <w:spacing w:after="0" w:line="240" w:lineRule="auto"/>
        <w:jc w:val="center"/>
        <w:outlineLvl w:val="1"/>
        <w:rPr>
          <w:rFonts w:ascii="Times New Roman" w:hAnsi="Times New Roman"/>
          <w:bCs/>
          <w:sz w:val="28"/>
          <w:szCs w:val="28"/>
          <w:lang w:val="uk-UA" w:eastAsia="ru-RU"/>
        </w:rPr>
      </w:pPr>
      <w:bookmarkStart w:id="1" w:name="2"/>
      <w:bookmarkEnd w:id="1"/>
    </w:p>
    <w:p w:rsidR="00E4719B" w:rsidRPr="00D054B8" w:rsidRDefault="00E4719B" w:rsidP="00662EE3">
      <w:pPr>
        <w:spacing w:after="0" w:line="240" w:lineRule="auto"/>
        <w:jc w:val="center"/>
        <w:outlineLvl w:val="1"/>
        <w:rPr>
          <w:rFonts w:ascii="Times New Roman" w:hAnsi="Times New Roman"/>
          <w:bCs/>
          <w:sz w:val="28"/>
          <w:szCs w:val="28"/>
          <w:lang w:val="uk-UA" w:eastAsia="ru-RU"/>
        </w:rPr>
      </w:pPr>
      <w:r w:rsidRPr="00D054B8">
        <w:rPr>
          <w:rFonts w:ascii="Times New Roman" w:hAnsi="Times New Roman"/>
          <w:bCs/>
          <w:sz w:val="28"/>
          <w:szCs w:val="28"/>
          <w:lang w:val="uk-UA" w:eastAsia="ru-RU"/>
        </w:rPr>
        <w:t xml:space="preserve">3.2. </w:t>
      </w:r>
    </w:p>
    <w:p w:rsidR="00E4719B" w:rsidRPr="00D054B8" w:rsidRDefault="00E4719B" w:rsidP="00CC24E4">
      <w:pPr>
        <w:spacing w:after="0" w:line="240" w:lineRule="auto"/>
        <w:ind w:firstLine="708"/>
        <w:jc w:val="both"/>
        <w:rPr>
          <w:rFonts w:ascii="Times New Roman" w:hAnsi="Times New Roman"/>
          <w:sz w:val="28"/>
          <w:szCs w:val="28"/>
          <w:lang w:eastAsia="ru-RU"/>
        </w:rPr>
      </w:pPr>
      <w:r w:rsidRPr="00D054B8">
        <w:rPr>
          <w:rFonts w:ascii="Times New Roman" w:hAnsi="Times New Roman"/>
          <w:sz w:val="28"/>
          <w:szCs w:val="28"/>
          <w:lang w:eastAsia="ru-RU"/>
        </w:rPr>
        <w:t>Катастрофічне зростання вмісту вуглекислого газу в атмосфері призвело до активного обговорення проблеми серед науковців та у суспільстві, що пізніше призвело до участі політиків у вирішенні цього питання. У зв’язку з цим було створено ряд документів, направлених на зменшення викидів СО</w:t>
      </w:r>
      <w:r w:rsidRPr="00D054B8">
        <w:rPr>
          <w:rFonts w:ascii="Times New Roman" w:hAnsi="Times New Roman"/>
          <w:sz w:val="28"/>
          <w:szCs w:val="28"/>
          <w:vertAlign w:val="subscript"/>
          <w:lang w:eastAsia="ru-RU"/>
        </w:rPr>
        <w:t>2</w:t>
      </w:r>
      <w:r w:rsidRPr="00D054B8">
        <w:rPr>
          <w:rFonts w:ascii="Times New Roman" w:hAnsi="Times New Roman"/>
          <w:sz w:val="28"/>
          <w:szCs w:val="28"/>
          <w:lang w:eastAsia="ru-RU"/>
        </w:rPr>
        <w:t xml:space="preserve"> у довкілля. Серед них провідне місце займає Кіотська угода (Кіотський протокол).</w:t>
      </w:r>
    </w:p>
    <w:p w:rsidR="00E4719B" w:rsidRPr="00D054B8" w:rsidRDefault="00E4719B" w:rsidP="00CC24E4">
      <w:pPr>
        <w:spacing w:after="0" w:line="240" w:lineRule="auto"/>
        <w:ind w:firstLine="708"/>
        <w:jc w:val="both"/>
        <w:rPr>
          <w:rFonts w:ascii="Times New Roman" w:hAnsi="Times New Roman"/>
          <w:sz w:val="28"/>
          <w:szCs w:val="28"/>
          <w:lang w:eastAsia="ru-RU"/>
        </w:rPr>
      </w:pPr>
      <w:r w:rsidRPr="00D054B8">
        <w:rPr>
          <w:rFonts w:ascii="Times New Roman" w:hAnsi="Times New Roman"/>
          <w:bCs/>
          <w:sz w:val="28"/>
          <w:szCs w:val="28"/>
          <w:lang w:eastAsia="ru-RU"/>
        </w:rPr>
        <w:t>Кіотський протокол</w:t>
      </w:r>
      <w:r w:rsidRPr="00D054B8">
        <w:rPr>
          <w:rFonts w:ascii="Times New Roman" w:hAnsi="Times New Roman"/>
          <w:sz w:val="28"/>
          <w:szCs w:val="28"/>
          <w:lang w:eastAsia="ru-RU"/>
        </w:rPr>
        <w:t xml:space="preserve"> — міжнародна угода про обмеження викидів у атмосферу парникових газів. Це – додатковий документ до Рамкової конвенції ООН зі змін клімату, підписаний 1992 на міжнародній конференції в Ріо-де-Жанейро. Конвенція набрала силу у 1994. Сьогодні підписантами її є 189 країн, в тому числі більшість промислово розвинутих країн. Сам протокол прийнято в Кіото 11 грудня 1997. Ним було узгоджено, що країни-учасниці зобов’язані до 2010 року зменшити викиди парникових газів в середньому на 5,2 % (у порівнянні з 1990 р.). Окреме зобов'язання щодо їх зниження взяли Японія – на 6 %, США – на 7 % та ЄС – на 8 %. В межах ЄС на окремі країни були накладені різні обмеження. Зокрема, в червні 1998 року міністри навколишнього середовища країн ЄС своєю постановою зобов’язали Австрію зменшити їх викиди на 13 % (для порівняння: північні країни ЄС зобов'язались досягти максимального їх пониження, на 28 %).</w:t>
      </w:r>
    </w:p>
    <w:p w:rsidR="00E4719B" w:rsidRPr="00D054B8" w:rsidRDefault="00E4719B" w:rsidP="00CC24E4">
      <w:pPr>
        <w:spacing w:after="0" w:line="240" w:lineRule="auto"/>
        <w:ind w:firstLine="708"/>
        <w:jc w:val="both"/>
        <w:rPr>
          <w:rFonts w:ascii="Times New Roman" w:hAnsi="Times New Roman"/>
          <w:sz w:val="28"/>
          <w:szCs w:val="28"/>
          <w:lang w:eastAsia="ru-RU"/>
        </w:rPr>
      </w:pPr>
      <w:r w:rsidRPr="00D054B8">
        <w:rPr>
          <w:rFonts w:ascii="Times New Roman" w:hAnsi="Times New Roman"/>
          <w:sz w:val="28"/>
          <w:szCs w:val="28"/>
          <w:lang w:val="uk-UA" w:eastAsia="ru-RU"/>
        </w:rPr>
        <w:t>Як відомо, для вступу в дію протоколу, із 35 індустріальних країн цей документ зобов’язані були ратифікувати стільки країн, щоб на них, як мінімум, припадало 55 % викидів двоокису вуглецю. З</w:t>
      </w:r>
      <w:r w:rsidRPr="00D054B8">
        <w:rPr>
          <w:rFonts w:ascii="Times New Roman" w:hAnsi="Times New Roman"/>
          <w:sz w:val="28"/>
          <w:szCs w:val="28"/>
          <w:lang w:eastAsia="ru-RU"/>
        </w:rPr>
        <w:t>азначений документ набув чинності 16 лютого 2005 року. Частка країн, які приєдналися до нього, складає на даний момент 62 %. Проте країни, що ратифікували протокол, не мають особливих стимулів його виконувати, допоки США (25 % світових викидів СО</w:t>
      </w:r>
      <w:r w:rsidRPr="00D054B8">
        <w:rPr>
          <w:rFonts w:ascii="Times New Roman" w:hAnsi="Times New Roman"/>
          <w:sz w:val="28"/>
          <w:szCs w:val="28"/>
          <w:vertAlign w:val="subscript"/>
          <w:lang w:eastAsia="ru-RU"/>
        </w:rPr>
        <w:t>2</w:t>
      </w:r>
      <w:r w:rsidRPr="00D054B8">
        <w:rPr>
          <w:rFonts w:ascii="Times New Roman" w:hAnsi="Times New Roman"/>
          <w:sz w:val="28"/>
          <w:szCs w:val="28"/>
          <w:lang w:eastAsia="ru-RU"/>
        </w:rPr>
        <w:t>) та Китай не ратифікували зазначений документ. Україна ратифікувала Кіотський протокол у 2004 році.</w:t>
      </w:r>
    </w:p>
    <w:p w:rsidR="00E4719B" w:rsidRPr="00D054B8" w:rsidRDefault="00E4719B" w:rsidP="00CC24E4">
      <w:pPr>
        <w:spacing w:after="0" w:line="240" w:lineRule="auto"/>
        <w:ind w:firstLine="708"/>
        <w:jc w:val="both"/>
        <w:rPr>
          <w:rFonts w:ascii="Times New Roman" w:hAnsi="Times New Roman"/>
          <w:sz w:val="28"/>
          <w:szCs w:val="28"/>
          <w:lang w:eastAsia="ru-RU"/>
        </w:rPr>
      </w:pPr>
      <w:r w:rsidRPr="00D054B8">
        <w:rPr>
          <w:rFonts w:ascii="Times New Roman" w:hAnsi="Times New Roman"/>
          <w:sz w:val="28"/>
          <w:szCs w:val="28"/>
          <w:lang w:eastAsia="ru-RU"/>
        </w:rPr>
        <w:t>Зменшення викидів кожна країна може здійснювати за допомогою зменшення виробництва, раціональнішого використання тепла та енергії транспортного сектору, а також проведення проектів у інших країнах. Як відомо, Кіотським протоколом передбачаються гнучкі механізми щодо зменшення парникових газів шляхом закупівлі відповідних сертифікатів за кордоном. Таким чином існує можливість для налагодження міжнародної співпраці у сфері скорочення викидів СО</w:t>
      </w:r>
      <w:r w:rsidRPr="00D054B8">
        <w:rPr>
          <w:rFonts w:ascii="Times New Roman" w:hAnsi="Times New Roman"/>
          <w:sz w:val="28"/>
          <w:szCs w:val="28"/>
          <w:vertAlign w:val="subscript"/>
          <w:lang w:eastAsia="ru-RU"/>
        </w:rPr>
        <w:t>2</w:t>
      </w:r>
      <w:r w:rsidRPr="00D054B8">
        <w:rPr>
          <w:rFonts w:ascii="Times New Roman" w:hAnsi="Times New Roman"/>
          <w:sz w:val="28"/>
          <w:szCs w:val="28"/>
          <w:lang w:eastAsia="ru-RU"/>
        </w:rPr>
        <w:t>. Підставою для цього є можливість купівлі країнами одиниць викидів СО</w:t>
      </w:r>
      <w:r w:rsidRPr="00D054B8">
        <w:rPr>
          <w:rFonts w:ascii="Times New Roman" w:hAnsi="Times New Roman"/>
          <w:sz w:val="28"/>
          <w:szCs w:val="28"/>
          <w:vertAlign w:val="subscript"/>
          <w:lang w:eastAsia="ru-RU"/>
        </w:rPr>
        <w:t>2</w:t>
      </w:r>
      <w:r w:rsidRPr="00D054B8">
        <w:rPr>
          <w:rFonts w:ascii="Times New Roman" w:hAnsi="Times New Roman"/>
          <w:sz w:val="28"/>
          <w:szCs w:val="28"/>
          <w:lang w:eastAsia="ru-RU"/>
        </w:rPr>
        <w:t xml:space="preserve"> в інших державах. Як відомо, для встановлення базового рівня викидів парникових газів для більшості країн було обрано 1990 р. З урахуванням трансформаційних процесів в економіці України кількість викидів СО</w:t>
      </w:r>
      <w:r w:rsidRPr="00D054B8">
        <w:rPr>
          <w:rFonts w:ascii="Times New Roman" w:hAnsi="Times New Roman"/>
          <w:sz w:val="28"/>
          <w:szCs w:val="28"/>
          <w:vertAlign w:val="subscript"/>
          <w:lang w:eastAsia="ru-RU"/>
        </w:rPr>
        <w:t>2</w:t>
      </w:r>
      <w:r w:rsidRPr="00D054B8">
        <w:rPr>
          <w:rFonts w:ascii="Times New Roman" w:hAnsi="Times New Roman"/>
          <w:sz w:val="28"/>
          <w:szCs w:val="28"/>
          <w:lang w:eastAsia="ru-RU"/>
        </w:rPr>
        <w:t xml:space="preserve"> вітчизняною промисловістю за період 1990-2004 рр. суттєво скоротилися. У зв'язку з цим, Україна може продавати свої одиниці викидів іншим країнам в рамках механізму торгівлі викидами.</w:t>
      </w:r>
    </w:p>
    <w:p w:rsidR="00E4719B" w:rsidRPr="00D054B8" w:rsidRDefault="00E4719B" w:rsidP="004F4678">
      <w:pPr>
        <w:spacing w:after="0" w:line="240" w:lineRule="auto"/>
        <w:ind w:firstLine="708"/>
        <w:jc w:val="both"/>
        <w:rPr>
          <w:rFonts w:ascii="Times New Roman" w:hAnsi="Times New Roman"/>
          <w:sz w:val="28"/>
          <w:szCs w:val="28"/>
          <w:lang w:val="uk-UA" w:eastAsia="ru-RU"/>
        </w:rPr>
      </w:pPr>
      <w:r w:rsidRPr="00D054B8">
        <w:rPr>
          <w:rFonts w:ascii="Times New Roman" w:hAnsi="Times New Roman"/>
          <w:sz w:val="28"/>
          <w:szCs w:val="28"/>
          <w:lang w:eastAsia="ru-RU"/>
        </w:rPr>
        <w:t xml:space="preserve">Незалежно від Кіотського протоколу існує також європейське законодавство в галузі захисту якості повітря, зміни клімату та озонового шару. Відповідно до постанови </w:t>
      </w:r>
      <w:r w:rsidRPr="00D054B8">
        <w:rPr>
          <w:rFonts w:ascii="Times New Roman" w:hAnsi="Times New Roman"/>
          <w:sz w:val="28"/>
          <w:szCs w:val="28"/>
          <w:u w:val="single"/>
          <w:lang w:eastAsia="ru-RU"/>
        </w:rPr>
        <w:t xml:space="preserve">Європейської Комісії </w:t>
      </w:r>
      <w:r w:rsidRPr="00D054B8">
        <w:rPr>
          <w:rFonts w:ascii="Times New Roman" w:hAnsi="Times New Roman"/>
          <w:sz w:val="28"/>
          <w:szCs w:val="28"/>
          <w:lang w:eastAsia="ru-RU"/>
        </w:rPr>
        <w:t>(№ 2037/2000) щодо захисту навколишнього середовища і, зокрема, озонового шару, країни-члени ЄС повинні інформувати про вжиті заходи стосовно повторного використання, обновлення та знищення шкідливих речовин, типу фторхлорвуглеводневих (ФХВВ) та інших газів з подібним негативним впливом на озон. На сьогоднішній день, як і було погоджено Монреальским протоколом 1987 року, замість ФХВВ використовуються фторовуглеводневі гази (ФВВ), які не впливають на озон в атмосфері. Але за рахунок цього вирішується тільки питання озонових дір, а проблема парникового ефекту залишається.</w:t>
      </w:r>
      <w:bookmarkStart w:id="2" w:name="3"/>
      <w:bookmarkEnd w:id="2"/>
    </w:p>
    <w:p w:rsidR="00E4719B" w:rsidRPr="00D054B8" w:rsidRDefault="00E4719B" w:rsidP="004F4678">
      <w:pPr>
        <w:spacing w:after="0" w:line="240" w:lineRule="auto"/>
        <w:ind w:firstLine="708"/>
        <w:jc w:val="both"/>
        <w:rPr>
          <w:rFonts w:ascii="Times New Roman" w:hAnsi="Times New Roman"/>
          <w:sz w:val="28"/>
          <w:szCs w:val="28"/>
          <w:lang w:val="uk-UA" w:eastAsia="ru-RU"/>
        </w:rPr>
      </w:pPr>
    </w:p>
    <w:p w:rsidR="00E4719B" w:rsidRPr="00D054B8" w:rsidRDefault="00E4719B" w:rsidP="00D93E7B">
      <w:pPr>
        <w:pStyle w:val="NormalWeb"/>
        <w:jc w:val="both"/>
        <w:rPr>
          <w:sz w:val="28"/>
          <w:szCs w:val="28"/>
        </w:rPr>
      </w:pPr>
      <w:r w:rsidRPr="00D054B8">
        <w:rPr>
          <w:lang w:val="uk-UA"/>
        </w:rPr>
        <w:t xml:space="preserve">1. </w:t>
      </w:r>
      <w:r w:rsidRPr="00D054B8">
        <w:rPr>
          <w:i/>
          <w:iCs/>
          <w:sz w:val="28"/>
          <w:szCs w:val="28"/>
          <w:lang w:val="uk-UA"/>
        </w:rPr>
        <w:t xml:space="preserve">ГОСТи </w:t>
      </w:r>
      <w:r w:rsidRPr="00D054B8">
        <w:rPr>
          <w:sz w:val="28"/>
          <w:szCs w:val="28"/>
          <w:lang w:val="uk-UA"/>
        </w:rPr>
        <w:t>— колишні державні стандарти СРСР, які визнано чинни</w:t>
      </w:r>
      <w:r w:rsidRPr="00D054B8">
        <w:rPr>
          <w:sz w:val="28"/>
          <w:szCs w:val="28"/>
          <w:lang w:val="uk-UA"/>
        </w:rPr>
        <w:softHyphen/>
        <w:t>ми на території України як міждержавні стандарти із збереженням аб</w:t>
      </w:r>
      <w:r w:rsidRPr="00D054B8">
        <w:rPr>
          <w:sz w:val="28"/>
          <w:szCs w:val="28"/>
          <w:lang w:val="uk-UA"/>
        </w:rPr>
        <w:softHyphen/>
        <w:t xml:space="preserve">ревіатури «ГОСТ» (Угода СНД про проведення узгодженої політики в галузі стандартизації, метрології та сертифікації від 13 березня 1992 р. з Протоколами до неї від 3 листопада 1995 р. та 20 червня 2000 </w:t>
      </w:r>
      <w:r w:rsidRPr="00D054B8">
        <w:rPr>
          <w:sz w:val="28"/>
          <w:szCs w:val="28"/>
        </w:rPr>
        <w:t>p</w:t>
      </w:r>
      <w:r w:rsidRPr="00D054B8">
        <w:rPr>
          <w:sz w:val="28"/>
          <w:szCs w:val="28"/>
          <w:lang w:val="uk-UA"/>
        </w:rPr>
        <w:t>.). Одним з основних напрямів, за якими 12 держав колишнього СРСР домовилися про проведення узгодженої політики в галузі стандарти</w:t>
      </w:r>
      <w:r w:rsidRPr="00D054B8">
        <w:rPr>
          <w:sz w:val="28"/>
          <w:szCs w:val="28"/>
          <w:lang w:val="uk-UA"/>
        </w:rPr>
        <w:softHyphen/>
        <w:t xml:space="preserve">зації, було визнано встановлення єдиних обов'язкових вимог до продукції та послуг, що забезпечують їх безпеку для життя та здоров'я людини, охорону навколишнього середовища, сумісність і взаємо-замінність, а також єдині методи випробувань (ст. </w:t>
      </w:r>
      <w:r w:rsidRPr="00D054B8">
        <w:rPr>
          <w:sz w:val="28"/>
          <w:szCs w:val="28"/>
        </w:rPr>
        <w:t>З Угоди). При цьо</w:t>
      </w:r>
      <w:r w:rsidRPr="00D054B8">
        <w:rPr>
          <w:sz w:val="28"/>
          <w:szCs w:val="28"/>
        </w:rPr>
        <w:softHyphen/>
        <w:t>му Сторони мають повну самостійність у питаннях формування та ре</w:t>
      </w:r>
      <w:r w:rsidRPr="00D054B8">
        <w:rPr>
          <w:sz w:val="28"/>
          <w:szCs w:val="28"/>
        </w:rPr>
        <w:softHyphen/>
        <w:t>алізації власних систем стандартизації. ГОСТи є чітко структурованою системою, що поділяється на певні класи. У галузі охорони довкілля діють ГОСТи класу 17 «Система стандартів і галузі охорони навколишнього середовища та поліпшення використання природних ресурсів». Споріднені до цього класу відносини регулюють ГОСТи класу 12 «Системи стандартів безпеки праці».</w:t>
      </w:r>
    </w:p>
    <w:p w:rsidR="00E4719B" w:rsidRPr="00D054B8" w:rsidRDefault="00E4719B" w:rsidP="00D93E7B">
      <w:pPr>
        <w:pStyle w:val="NormalWeb"/>
        <w:jc w:val="both"/>
        <w:rPr>
          <w:sz w:val="28"/>
          <w:szCs w:val="28"/>
        </w:rPr>
      </w:pPr>
      <w:r w:rsidRPr="00D054B8">
        <w:rPr>
          <w:sz w:val="28"/>
          <w:szCs w:val="28"/>
        </w:rPr>
        <w:t>ГОСТи періодично переглядаються, щодо деяких поновлюється термін чинності. У тих сферах, у яких визнано за необхідне проводи</w:t>
      </w:r>
      <w:r w:rsidRPr="00D054B8">
        <w:rPr>
          <w:sz w:val="28"/>
          <w:szCs w:val="28"/>
        </w:rPr>
        <w:softHyphen/>
        <w:t>ти узгоджену міждержавну політику, приймаються нові ГОСТи. Ста</w:t>
      </w:r>
      <w:r w:rsidRPr="00D054B8">
        <w:rPr>
          <w:sz w:val="28"/>
          <w:szCs w:val="28"/>
        </w:rPr>
        <w:softHyphen/>
        <w:t>ном на 2006 р. у галузі охорони довкілля в Україні діяло 159 ГОСТів.</w:t>
      </w:r>
    </w:p>
    <w:p w:rsidR="00E4719B" w:rsidRPr="00D054B8" w:rsidRDefault="00E4719B" w:rsidP="00D93E7B">
      <w:pPr>
        <w:pStyle w:val="NormalWeb"/>
        <w:jc w:val="both"/>
        <w:rPr>
          <w:sz w:val="28"/>
          <w:szCs w:val="28"/>
          <w:lang w:val="uk-UA"/>
        </w:rPr>
      </w:pPr>
      <w:r w:rsidRPr="00D054B8">
        <w:rPr>
          <w:sz w:val="28"/>
          <w:szCs w:val="28"/>
        </w:rPr>
        <w:t>Водночас наказом Держспоживстандарту України від 13 березня 2006 р. № 77 затверджено Програму перегляду чинних в Україні міждержавних стандартів (ГОСТ), розроблених до 1992 року, та при</w:t>
      </w:r>
      <w:r w:rsidRPr="00D054B8">
        <w:rPr>
          <w:sz w:val="28"/>
          <w:szCs w:val="28"/>
        </w:rPr>
        <w:softHyphen/>
        <w:t>ведення їх у відповідність до Угоди про технічні бар'єри у торгівлі Світової організації торгівлі. Метою Програми є гармонізація систе</w:t>
      </w:r>
      <w:r w:rsidRPr="00D054B8">
        <w:rPr>
          <w:sz w:val="28"/>
          <w:szCs w:val="28"/>
        </w:rPr>
        <w:softHyphen/>
        <w:t>ми стандартизації в Україні з європейською моделлю стандартизації. Згідно з цією Програмою всі ГОСТи підлягають перегляду протягом 2007—2010 років з метою виявлення тих, що підлягають скасуванню, і перегляду тих, які пропонуються для подальшого застосування</w:t>
      </w:r>
      <w:r w:rsidRPr="00D054B8">
        <w:t>.</w:t>
      </w:r>
    </w:p>
    <w:p w:rsidR="00E4719B" w:rsidRPr="00D054B8" w:rsidRDefault="00E4719B" w:rsidP="0097076E">
      <w:pPr>
        <w:pStyle w:val="NormalWeb"/>
      </w:pPr>
      <w:r w:rsidRPr="00D054B8">
        <w:t> </w:t>
      </w:r>
    </w:p>
    <w:p w:rsidR="00E4719B" w:rsidRPr="00D054B8" w:rsidRDefault="00E4719B" w:rsidP="00710C18">
      <w:pPr>
        <w:pStyle w:val="NormalWeb"/>
        <w:rPr>
          <w:lang w:val="uk-UA"/>
        </w:rPr>
      </w:pPr>
    </w:p>
    <w:p w:rsidR="00E4719B" w:rsidRPr="00D054B8" w:rsidRDefault="00E4719B" w:rsidP="00662EE3">
      <w:pPr>
        <w:spacing w:after="0"/>
        <w:rPr>
          <w:rFonts w:ascii="Times New Roman" w:hAnsi="Times New Roman"/>
          <w:sz w:val="28"/>
          <w:szCs w:val="28"/>
          <w:lang w:val="uk-UA"/>
        </w:rPr>
      </w:pPr>
    </w:p>
    <w:sectPr w:rsidR="00E4719B" w:rsidRPr="00D054B8" w:rsidSect="00D054B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130DC"/>
    <w:multiLevelType w:val="hybridMultilevel"/>
    <w:tmpl w:val="64441ECA"/>
    <w:lvl w:ilvl="0" w:tplc="D2F24A14">
      <w:start w:val="2"/>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
    <w:nsid w:val="113E2E22"/>
    <w:multiLevelType w:val="hybridMultilevel"/>
    <w:tmpl w:val="C4A803D8"/>
    <w:lvl w:ilvl="0" w:tplc="FC04C262">
      <w:start w:val="3"/>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
    <w:nsid w:val="3A503CAE"/>
    <w:multiLevelType w:val="multilevel"/>
    <w:tmpl w:val="518A89FA"/>
    <w:lvl w:ilvl="0">
      <w:start w:val="1"/>
      <w:numFmt w:val="decimal"/>
      <w:lvlText w:val="%1."/>
      <w:lvlJc w:val="left"/>
      <w:pPr>
        <w:ind w:left="450" w:hanging="450"/>
      </w:pPr>
      <w:rPr>
        <w:rFonts w:cs="Times New Roman" w:hint="default"/>
        <w:b/>
      </w:rPr>
    </w:lvl>
    <w:lvl w:ilvl="1">
      <w:start w:val="2"/>
      <w:numFmt w:val="decimal"/>
      <w:lvlText w:val="%1.%2."/>
      <w:lvlJc w:val="left"/>
      <w:pPr>
        <w:ind w:left="1287" w:hanging="72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781" w:hanging="108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4275" w:hanging="1440"/>
      </w:pPr>
      <w:rPr>
        <w:rFonts w:cs="Times New Roman" w:hint="default"/>
        <w:b/>
      </w:rPr>
    </w:lvl>
    <w:lvl w:ilvl="6">
      <w:start w:val="1"/>
      <w:numFmt w:val="decimal"/>
      <w:lvlText w:val="%1.%2.%3.%4.%5.%6.%7."/>
      <w:lvlJc w:val="left"/>
      <w:pPr>
        <w:ind w:left="5202" w:hanging="1800"/>
      </w:pPr>
      <w:rPr>
        <w:rFonts w:cs="Times New Roman" w:hint="default"/>
        <w:b/>
      </w:rPr>
    </w:lvl>
    <w:lvl w:ilvl="7">
      <w:start w:val="1"/>
      <w:numFmt w:val="decimal"/>
      <w:lvlText w:val="%1.%2.%3.%4.%5.%6.%7.%8."/>
      <w:lvlJc w:val="left"/>
      <w:pPr>
        <w:ind w:left="5769" w:hanging="1800"/>
      </w:pPr>
      <w:rPr>
        <w:rFonts w:cs="Times New Roman" w:hint="default"/>
        <w:b/>
      </w:rPr>
    </w:lvl>
    <w:lvl w:ilvl="8">
      <w:start w:val="1"/>
      <w:numFmt w:val="decimal"/>
      <w:lvlText w:val="%1.%2.%3.%4.%5.%6.%7.%8.%9."/>
      <w:lvlJc w:val="left"/>
      <w:pPr>
        <w:ind w:left="6696" w:hanging="2160"/>
      </w:pPr>
      <w:rPr>
        <w:rFonts w:cs="Times New Roman" w:hint="default"/>
        <w:b/>
      </w:rPr>
    </w:lvl>
  </w:abstractNum>
  <w:abstractNum w:abstractNumId="3">
    <w:nsid w:val="44D72EEE"/>
    <w:multiLevelType w:val="hybridMultilevel"/>
    <w:tmpl w:val="E572EBAA"/>
    <w:lvl w:ilvl="0" w:tplc="58A2D266">
      <w:start w:val="1"/>
      <w:numFmt w:val="decimal"/>
      <w:lvlText w:val="%1."/>
      <w:lvlJc w:val="left"/>
      <w:pPr>
        <w:ind w:left="1070" w:hanging="360"/>
      </w:pPr>
      <w:rPr>
        <w:rFonts w:cs="Times New Roman" w:hint="default"/>
        <w:b/>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
    <w:nsid w:val="62FC2E40"/>
    <w:multiLevelType w:val="multilevel"/>
    <w:tmpl w:val="651673A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5">
    <w:nsid w:val="639C24BD"/>
    <w:multiLevelType w:val="hybridMultilevel"/>
    <w:tmpl w:val="EB1E7AEA"/>
    <w:lvl w:ilvl="0" w:tplc="BCFEE5E4">
      <w:start w:val="1"/>
      <w:numFmt w:val="decimal"/>
      <w:lvlText w:val="%1."/>
      <w:lvlJc w:val="left"/>
      <w:pPr>
        <w:ind w:left="720" w:hanging="360"/>
      </w:pPr>
      <w:rPr>
        <w:rFonts w:ascii="Times New Roman" w:eastAsia="Times New Roman" w:hAnsi="Times New Roman" w:cs="Times New Roman" w:hint="default"/>
        <w:sz w:val="28"/>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2EE3"/>
    <w:rsid w:val="000A7D5D"/>
    <w:rsid w:val="000D3424"/>
    <w:rsid w:val="000D3550"/>
    <w:rsid w:val="00131B1A"/>
    <w:rsid w:val="00195060"/>
    <w:rsid w:val="00340C64"/>
    <w:rsid w:val="003A1F91"/>
    <w:rsid w:val="003D6A22"/>
    <w:rsid w:val="003E56DB"/>
    <w:rsid w:val="003E60E1"/>
    <w:rsid w:val="00413F9F"/>
    <w:rsid w:val="004279D4"/>
    <w:rsid w:val="004F4678"/>
    <w:rsid w:val="005C00E3"/>
    <w:rsid w:val="00620A64"/>
    <w:rsid w:val="006614FF"/>
    <w:rsid w:val="00662EE3"/>
    <w:rsid w:val="00710C18"/>
    <w:rsid w:val="00756F47"/>
    <w:rsid w:val="007B636A"/>
    <w:rsid w:val="007F5707"/>
    <w:rsid w:val="008E338C"/>
    <w:rsid w:val="00963662"/>
    <w:rsid w:val="009651A5"/>
    <w:rsid w:val="0097076E"/>
    <w:rsid w:val="00972DBD"/>
    <w:rsid w:val="009B6501"/>
    <w:rsid w:val="009D5BE5"/>
    <w:rsid w:val="009E62C0"/>
    <w:rsid w:val="00AA3DC4"/>
    <w:rsid w:val="00B51D15"/>
    <w:rsid w:val="00BB6548"/>
    <w:rsid w:val="00C12BC8"/>
    <w:rsid w:val="00CC24E4"/>
    <w:rsid w:val="00D054B8"/>
    <w:rsid w:val="00D15DA4"/>
    <w:rsid w:val="00D93E7B"/>
    <w:rsid w:val="00E057D3"/>
    <w:rsid w:val="00E4719B"/>
    <w:rsid w:val="00F13F37"/>
    <w:rsid w:val="00F26B0B"/>
    <w:rsid w:val="00F85F35"/>
    <w:rsid w:val="00FC2B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B0B"/>
    <w:pPr>
      <w:spacing w:after="200" w:line="276" w:lineRule="auto"/>
    </w:pPr>
    <w:rPr>
      <w:lang w:eastAsia="en-US"/>
    </w:rPr>
  </w:style>
  <w:style w:type="paragraph" w:styleId="Heading1">
    <w:name w:val="heading 1"/>
    <w:basedOn w:val="Normal"/>
    <w:link w:val="Heading1Char"/>
    <w:uiPriority w:val="99"/>
    <w:qFormat/>
    <w:rsid w:val="00662EE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Heading2">
    <w:name w:val="heading 2"/>
    <w:basedOn w:val="Normal"/>
    <w:link w:val="Heading2Char"/>
    <w:uiPriority w:val="99"/>
    <w:qFormat/>
    <w:rsid w:val="00662EE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EE3"/>
    <w:rPr>
      <w:rFonts w:ascii="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9"/>
    <w:locked/>
    <w:rsid w:val="00662EE3"/>
    <w:rPr>
      <w:rFonts w:ascii="Times New Roman" w:hAnsi="Times New Roman" w:cs="Times New Roman"/>
      <w:b/>
      <w:bCs/>
      <w:sz w:val="36"/>
      <w:szCs w:val="36"/>
      <w:lang w:eastAsia="ru-RU"/>
    </w:rPr>
  </w:style>
  <w:style w:type="paragraph" w:styleId="NormalWeb">
    <w:name w:val="Normal (Web)"/>
    <w:basedOn w:val="Normal"/>
    <w:uiPriority w:val="99"/>
    <w:rsid w:val="00662EE3"/>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662EE3"/>
    <w:rPr>
      <w:rFonts w:cs="Times New Roman"/>
      <w:color w:val="0000FF"/>
      <w:u w:val="single"/>
    </w:rPr>
  </w:style>
  <w:style w:type="paragraph" w:styleId="ListParagraph">
    <w:name w:val="List Paragraph"/>
    <w:basedOn w:val="Normal"/>
    <w:uiPriority w:val="99"/>
    <w:qFormat/>
    <w:rsid w:val="00CC24E4"/>
    <w:pPr>
      <w:ind w:left="720"/>
      <w:contextualSpacing/>
    </w:pPr>
  </w:style>
</w:styles>
</file>

<file path=word/webSettings.xml><?xml version="1.0" encoding="utf-8"?>
<w:webSettings xmlns:r="http://schemas.openxmlformats.org/officeDocument/2006/relationships" xmlns:w="http://schemas.openxmlformats.org/wordprocessingml/2006/main">
  <w:divs>
    <w:div w:id="1349259011">
      <w:marLeft w:val="0"/>
      <w:marRight w:val="0"/>
      <w:marTop w:val="0"/>
      <w:marBottom w:val="0"/>
      <w:divBdr>
        <w:top w:val="none" w:sz="0" w:space="0" w:color="auto"/>
        <w:left w:val="none" w:sz="0" w:space="0" w:color="auto"/>
        <w:bottom w:val="none" w:sz="0" w:space="0" w:color="auto"/>
        <w:right w:val="none" w:sz="0" w:space="0" w:color="auto"/>
      </w:divBdr>
    </w:div>
    <w:div w:id="1349259012">
      <w:marLeft w:val="0"/>
      <w:marRight w:val="0"/>
      <w:marTop w:val="0"/>
      <w:marBottom w:val="0"/>
      <w:divBdr>
        <w:top w:val="none" w:sz="0" w:space="0" w:color="auto"/>
        <w:left w:val="none" w:sz="0" w:space="0" w:color="auto"/>
        <w:bottom w:val="none" w:sz="0" w:space="0" w:color="auto"/>
        <w:right w:val="none" w:sz="0" w:space="0" w:color="auto"/>
      </w:divBdr>
    </w:div>
    <w:div w:id="1349259013">
      <w:marLeft w:val="0"/>
      <w:marRight w:val="0"/>
      <w:marTop w:val="0"/>
      <w:marBottom w:val="0"/>
      <w:divBdr>
        <w:top w:val="none" w:sz="0" w:space="0" w:color="auto"/>
        <w:left w:val="none" w:sz="0" w:space="0" w:color="auto"/>
        <w:bottom w:val="none" w:sz="0" w:space="0" w:color="auto"/>
        <w:right w:val="none" w:sz="0" w:space="0" w:color="auto"/>
      </w:divBdr>
    </w:div>
    <w:div w:id="1349259014">
      <w:marLeft w:val="0"/>
      <w:marRight w:val="0"/>
      <w:marTop w:val="0"/>
      <w:marBottom w:val="0"/>
      <w:divBdr>
        <w:top w:val="none" w:sz="0" w:space="0" w:color="auto"/>
        <w:left w:val="none" w:sz="0" w:space="0" w:color="auto"/>
        <w:bottom w:val="none" w:sz="0" w:space="0" w:color="auto"/>
        <w:right w:val="none" w:sz="0" w:space="0" w:color="auto"/>
      </w:divBdr>
    </w:div>
    <w:div w:id="1349259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3280</Words>
  <Characters>18697</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ЗАКОНОДАВЧЕ ТА НОРМАТИВНО-ПРАВОВЕ РЕГУЛЮВАННЯ У ГАЛУЗІ ОХОРОНИ ДОВКІЛЛЯ</dc:title>
  <dc:subject/>
  <dc:creator>Admin</dc:creator>
  <cp:keywords/>
  <dc:description/>
  <cp:lastModifiedBy>Worker</cp:lastModifiedBy>
  <cp:revision>2</cp:revision>
  <dcterms:created xsi:type="dcterms:W3CDTF">2016-10-03T08:52:00Z</dcterms:created>
  <dcterms:modified xsi:type="dcterms:W3CDTF">2016-10-03T08:52:00Z</dcterms:modified>
</cp:coreProperties>
</file>