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25DF" w14:textId="77777777" w:rsidR="00642C7A" w:rsidRPr="00642C7A" w:rsidRDefault="00642C7A" w:rsidP="00642C7A">
      <w:pPr>
        <w:widowControl w:val="0"/>
        <w:tabs>
          <w:tab w:val="left" w:pos="4312"/>
        </w:tabs>
        <w:autoSpaceDE w:val="0"/>
        <w:autoSpaceDN w:val="0"/>
        <w:spacing w:before="8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42C7A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uk-UA"/>
        </w:rPr>
        <w:t>Самостійна</w:t>
      </w:r>
      <w:r w:rsidRPr="00642C7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642C7A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uk-UA"/>
        </w:rPr>
        <w:t>робота</w:t>
      </w:r>
    </w:p>
    <w:p w14:paraId="713195DB" w14:textId="77777777" w:rsidR="00642C7A" w:rsidRPr="00642C7A" w:rsidRDefault="00642C7A" w:rsidP="00642C7A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sz w:val="12"/>
          <w:szCs w:val="24"/>
          <w:lang w:val="uk-UA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6766"/>
        <w:gridCol w:w="994"/>
        <w:gridCol w:w="994"/>
      </w:tblGrid>
      <w:tr w:rsidR="00642C7A" w:rsidRPr="00642C7A" w14:paraId="5ED41F0D" w14:textId="77777777" w:rsidTr="00280253">
        <w:trPr>
          <w:trHeight w:val="532"/>
        </w:trPr>
        <w:tc>
          <w:tcPr>
            <w:tcW w:w="1316" w:type="dxa"/>
            <w:vMerge w:val="restart"/>
          </w:tcPr>
          <w:p w14:paraId="164ED518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76" w:lineRule="auto"/>
              <w:ind w:left="311" w:right="97" w:hanging="264"/>
              <w:rPr>
                <w:rFonts w:ascii="Times New Roman" w:eastAsia="Calibri" w:hAnsi="Times New Roman" w:cs="Times New Roman"/>
                <w:sz w:val="20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0"/>
                <w:lang w:val="uk-UA"/>
              </w:rPr>
              <w:t>№</w:t>
            </w:r>
            <w:r w:rsidRPr="00642C7A">
              <w:rPr>
                <w:rFonts w:ascii="Times New Roman" w:eastAsia="Calibri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642C7A">
              <w:rPr>
                <w:rFonts w:ascii="Times New Roman" w:eastAsia="Calibri" w:hAnsi="Times New Roman" w:cs="Times New Roman"/>
                <w:sz w:val="20"/>
                <w:lang w:val="uk-UA"/>
              </w:rPr>
              <w:t xml:space="preserve">змістового </w:t>
            </w:r>
            <w:r w:rsidRPr="00642C7A">
              <w:rPr>
                <w:rFonts w:ascii="Times New Roman" w:eastAsia="Calibri" w:hAnsi="Times New Roman" w:cs="Times New Roman"/>
                <w:spacing w:val="-2"/>
                <w:sz w:val="20"/>
                <w:lang w:val="uk-UA"/>
              </w:rPr>
              <w:t>модуля</w:t>
            </w:r>
          </w:p>
        </w:tc>
        <w:tc>
          <w:tcPr>
            <w:tcW w:w="6766" w:type="dxa"/>
            <w:vMerge w:val="restart"/>
          </w:tcPr>
          <w:p w14:paraId="6951A7CC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25" w:lineRule="exact"/>
              <w:ind w:left="1655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lang w:val="uk-UA"/>
              </w:rPr>
              <w:t>Питання</w:t>
            </w:r>
            <w:r w:rsidRPr="00642C7A">
              <w:rPr>
                <w:rFonts w:ascii="Times New Roman" w:eastAsia="Calibri" w:hAnsi="Times New Roman" w:cs="Times New Roman"/>
                <w:spacing w:val="-8"/>
                <w:lang w:val="uk-UA"/>
              </w:rPr>
              <w:t xml:space="preserve"> </w:t>
            </w:r>
            <w:r w:rsidRPr="00642C7A">
              <w:rPr>
                <w:rFonts w:ascii="Times New Roman" w:eastAsia="Calibri" w:hAnsi="Times New Roman" w:cs="Times New Roman"/>
                <w:lang w:val="uk-UA"/>
              </w:rPr>
              <w:t>для</w:t>
            </w:r>
            <w:r w:rsidRPr="00642C7A">
              <w:rPr>
                <w:rFonts w:ascii="Times New Roman" w:eastAsia="Calibri" w:hAnsi="Times New Roman" w:cs="Times New Roman"/>
                <w:spacing w:val="-8"/>
                <w:lang w:val="uk-UA"/>
              </w:rPr>
              <w:t xml:space="preserve"> </w:t>
            </w:r>
            <w:r w:rsidRPr="00642C7A">
              <w:rPr>
                <w:rFonts w:ascii="Times New Roman" w:eastAsia="Calibri" w:hAnsi="Times New Roman" w:cs="Times New Roman"/>
                <w:lang w:val="uk-UA"/>
              </w:rPr>
              <w:t>самостійного</w:t>
            </w:r>
            <w:r w:rsidRPr="00642C7A">
              <w:rPr>
                <w:rFonts w:ascii="Times New Roman" w:eastAsia="Calibri" w:hAnsi="Times New Roman" w:cs="Times New Roman"/>
                <w:spacing w:val="-9"/>
                <w:lang w:val="uk-UA"/>
              </w:rPr>
              <w:t xml:space="preserve"> </w:t>
            </w:r>
            <w:r w:rsidRPr="00642C7A">
              <w:rPr>
                <w:rFonts w:ascii="Times New Roman" w:eastAsia="Calibri" w:hAnsi="Times New Roman" w:cs="Times New Roman"/>
                <w:spacing w:val="-2"/>
                <w:lang w:val="uk-UA"/>
              </w:rPr>
              <w:t>опрацювання</w:t>
            </w:r>
          </w:p>
        </w:tc>
        <w:tc>
          <w:tcPr>
            <w:tcW w:w="1988" w:type="dxa"/>
            <w:gridSpan w:val="2"/>
          </w:tcPr>
          <w:p w14:paraId="7C9F3225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25" w:lineRule="exact"/>
              <w:ind w:left="13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2"/>
                <w:lang w:val="uk-UA"/>
              </w:rPr>
              <w:t>Кількість</w:t>
            </w:r>
          </w:p>
          <w:p w14:paraId="0253AB02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before="34" w:after="0" w:line="240" w:lineRule="auto"/>
              <w:ind w:left="13" w:right="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2"/>
                <w:lang w:val="uk-UA"/>
              </w:rPr>
              <w:t>годин</w:t>
            </w:r>
          </w:p>
        </w:tc>
      </w:tr>
      <w:tr w:rsidR="00642C7A" w:rsidRPr="00642C7A" w14:paraId="3BB6B095" w14:textId="77777777" w:rsidTr="00280253">
        <w:trPr>
          <w:trHeight w:val="264"/>
        </w:trPr>
        <w:tc>
          <w:tcPr>
            <w:tcW w:w="1316" w:type="dxa"/>
            <w:vMerge/>
            <w:tcBorders>
              <w:top w:val="nil"/>
            </w:tcBorders>
          </w:tcPr>
          <w:p w14:paraId="0AB81FD4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6766" w:type="dxa"/>
            <w:vMerge/>
            <w:tcBorders>
              <w:top w:val="nil"/>
            </w:tcBorders>
          </w:tcPr>
          <w:p w14:paraId="54A9B3EC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4" w:type="dxa"/>
          </w:tcPr>
          <w:p w14:paraId="0D684F83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25" w:lineRule="exact"/>
              <w:ind w:left="16" w:right="7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2"/>
                <w:lang w:val="uk-UA"/>
              </w:rPr>
              <w:t>о/</w:t>
            </w:r>
            <w:proofErr w:type="spellStart"/>
            <w:r w:rsidRPr="00642C7A">
              <w:rPr>
                <w:rFonts w:ascii="Times New Roman" w:eastAsia="Calibri" w:hAnsi="Times New Roman" w:cs="Times New Roman"/>
                <w:spacing w:val="-2"/>
                <w:lang w:val="uk-UA"/>
              </w:rPr>
              <w:t>д.ф</w:t>
            </w:r>
            <w:proofErr w:type="spellEnd"/>
            <w:r w:rsidRPr="00642C7A">
              <w:rPr>
                <w:rFonts w:ascii="Times New Roman" w:eastAsia="Calibri" w:hAnsi="Times New Roman" w:cs="Times New Roman"/>
                <w:spacing w:val="-2"/>
                <w:lang w:val="uk-UA"/>
              </w:rPr>
              <w:t>.</w:t>
            </w:r>
          </w:p>
        </w:tc>
        <w:tc>
          <w:tcPr>
            <w:tcW w:w="994" w:type="dxa"/>
          </w:tcPr>
          <w:p w14:paraId="75BF01D8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25" w:lineRule="exact"/>
              <w:ind w:left="16" w:right="7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642C7A">
              <w:rPr>
                <w:rFonts w:ascii="Times New Roman" w:eastAsia="Calibri" w:hAnsi="Times New Roman" w:cs="Times New Roman"/>
                <w:spacing w:val="-4"/>
                <w:lang w:val="uk-UA"/>
              </w:rPr>
              <w:t>з.ф</w:t>
            </w:r>
            <w:proofErr w:type="spellEnd"/>
            <w:r w:rsidRPr="00642C7A">
              <w:rPr>
                <w:rFonts w:ascii="Times New Roman" w:eastAsia="Calibri" w:hAnsi="Times New Roman" w:cs="Times New Roman"/>
                <w:spacing w:val="-4"/>
                <w:lang w:val="uk-UA"/>
              </w:rPr>
              <w:t>.</w:t>
            </w:r>
          </w:p>
        </w:tc>
      </w:tr>
      <w:tr w:rsidR="00642C7A" w:rsidRPr="00642C7A" w14:paraId="53C1174D" w14:textId="77777777" w:rsidTr="00280253">
        <w:trPr>
          <w:trHeight w:val="1623"/>
        </w:trPr>
        <w:tc>
          <w:tcPr>
            <w:tcW w:w="1316" w:type="dxa"/>
          </w:tcPr>
          <w:p w14:paraId="6AA11A5E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6766" w:type="dxa"/>
          </w:tcPr>
          <w:p w14:paraId="417D8AF9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Предмет, мета та завдання дисципліни. </w:t>
            </w:r>
          </w:p>
          <w:p w14:paraId="084951D8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Понятійно</w:t>
            </w:r>
            <w:proofErr w:type="spellEnd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-категоріальна база курсу: парламент, парламентаризм, парламентська діяльність, парламентар. </w:t>
            </w:r>
          </w:p>
          <w:p w14:paraId="7FD587B5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Структура навчальної дисципліни. </w:t>
            </w:r>
          </w:p>
          <w:p w14:paraId="3DC42C75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Роль та місце «Соціології парламентаризму» в системі гуманітарних та суспільствознавчих дисциплін. </w:t>
            </w:r>
          </w:p>
          <w:p w14:paraId="29EA482A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Зв'язок з </w:t>
            </w:r>
            <w:proofErr w:type="spellStart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кратологією</w:t>
            </w:r>
            <w:proofErr w:type="spellEnd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політологією.</w:t>
            </w:r>
          </w:p>
        </w:tc>
        <w:tc>
          <w:tcPr>
            <w:tcW w:w="994" w:type="dxa"/>
          </w:tcPr>
          <w:p w14:paraId="1BDF4DEC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ind w:right="3" w:firstLine="436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994" w:type="dxa"/>
          </w:tcPr>
          <w:p w14:paraId="60BD2854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315" w:lineRule="exact"/>
              <w:ind w:left="16" w:right="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</w:tr>
      <w:tr w:rsidR="00642C7A" w:rsidRPr="00642C7A" w14:paraId="338F8174" w14:textId="77777777" w:rsidTr="00280253">
        <w:trPr>
          <w:trHeight w:val="369"/>
        </w:trPr>
        <w:tc>
          <w:tcPr>
            <w:tcW w:w="1316" w:type="dxa"/>
          </w:tcPr>
          <w:p w14:paraId="31A7B752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6766" w:type="dxa"/>
          </w:tcPr>
          <w:p w14:paraId="0A30902C" w14:textId="77777777" w:rsidR="00642C7A" w:rsidRPr="00642C7A" w:rsidRDefault="00642C7A" w:rsidP="00642C7A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Макіавеллізм в політиці та суспільному житті. Специфіка та значення робіт </w:t>
            </w:r>
            <w:proofErr w:type="spellStart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Н.Макіавелі</w:t>
            </w:r>
            <w:proofErr w:type="spellEnd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4179120" w14:textId="77777777" w:rsidR="00642C7A" w:rsidRPr="00642C7A" w:rsidRDefault="00642C7A" w:rsidP="00642C7A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Концепції громадянського суспільства. Сутність поглядів Т. Гоббса та </w:t>
            </w:r>
            <w:proofErr w:type="spellStart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</w:t>
            </w:r>
            <w:proofErr w:type="spellEnd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Локка, Ж.Ж. Руссо. </w:t>
            </w:r>
          </w:p>
          <w:p w14:paraId="17272164" w14:textId="77777777" w:rsidR="00642C7A" w:rsidRPr="00642C7A" w:rsidRDefault="00642C7A" w:rsidP="00642C7A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Принципи розподілу гілок влади в теорії Ш. Монтеск’є. </w:t>
            </w:r>
          </w:p>
          <w:p w14:paraId="5338A59C" w14:textId="77777777" w:rsidR="00642C7A" w:rsidRPr="00642C7A" w:rsidRDefault="00642C7A" w:rsidP="00642C7A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Концепція української державності в творах В. Липинського, М. Грушевського. </w:t>
            </w:r>
          </w:p>
          <w:p w14:paraId="3F3638EC" w14:textId="77777777" w:rsidR="00642C7A" w:rsidRPr="00642C7A" w:rsidRDefault="00642C7A" w:rsidP="00642C7A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Міжнародний досвід парламентаризму та шляхи його розвитку.</w:t>
            </w:r>
          </w:p>
        </w:tc>
        <w:tc>
          <w:tcPr>
            <w:tcW w:w="994" w:type="dxa"/>
          </w:tcPr>
          <w:p w14:paraId="1E329B1D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ind w:right="3" w:firstLine="436"/>
              <w:jc w:val="center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lang w:val="uk-UA"/>
              </w:rPr>
              <w:t>12</w:t>
            </w:r>
          </w:p>
        </w:tc>
        <w:tc>
          <w:tcPr>
            <w:tcW w:w="994" w:type="dxa"/>
          </w:tcPr>
          <w:p w14:paraId="16757829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315" w:lineRule="exact"/>
              <w:ind w:left="16" w:right="4"/>
              <w:jc w:val="center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lang w:val="uk-UA"/>
              </w:rPr>
              <w:t>15</w:t>
            </w:r>
          </w:p>
        </w:tc>
      </w:tr>
      <w:tr w:rsidR="00642C7A" w:rsidRPr="00642C7A" w14:paraId="03611603" w14:textId="77777777" w:rsidTr="00280253">
        <w:trPr>
          <w:trHeight w:val="369"/>
        </w:trPr>
        <w:tc>
          <w:tcPr>
            <w:tcW w:w="1316" w:type="dxa"/>
          </w:tcPr>
          <w:p w14:paraId="236620B3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6766" w:type="dxa"/>
          </w:tcPr>
          <w:p w14:paraId="2001398A" w14:textId="77777777" w:rsidR="00642C7A" w:rsidRPr="00642C7A" w:rsidRDefault="00642C7A" w:rsidP="00642C7A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1. Держава: сутність, ознаки і функції. Основні концепції походження держави: теологічна, патріархальна, договірна, класова, інші. </w:t>
            </w:r>
          </w:p>
          <w:p w14:paraId="6A0913AF" w14:textId="77777777" w:rsidR="00642C7A" w:rsidRPr="00642C7A" w:rsidRDefault="00642C7A" w:rsidP="00642C7A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2. Вплив форми державного правління та державного устрою на формування представницьких органів. </w:t>
            </w:r>
          </w:p>
          <w:p w14:paraId="79451562" w14:textId="77777777" w:rsidR="00642C7A" w:rsidRPr="00642C7A" w:rsidRDefault="00642C7A" w:rsidP="00642C7A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3. Особливості республіканської та монархічної форм правління. </w:t>
            </w:r>
          </w:p>
          <w:p w14:paraId="6A52579F" w14:textId="77777777" w:rsidR="00642C7A" w:rsidRPr="00642C7A" w:rsidRDefault="00642C7A" w:rsidP="00642C7A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4. Відмінність парламентаризму в президентській, парламентській, парламентсько-президентській та президентсько-парламентській формах республіканського правління.</w:t>
            </w:r>
          </w:p>
        </w:tc>
        <w:tc>
          <w:tcPr>
            <w:tcW w:w="994" w:type="dxa"/>
          </w:tcPr>
          <w:p w14:paraId="73F854E3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lang w:val="uk-UA"/>
              </w:rPr>
              <w:t>12</w:t>
            </w:r>
          </w:p>
        </w:tc>
        <w:tc>
          <w:tcPr>
            <w:tcW w:w="994" w:type="dxa"/>
          </w:tcPr>
          <w:p w14:paraId="18DD7869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315" w:lineRule="exact"/>
              <w:ind w:left="16" w:right="4"/>
              <w:jc w:val="center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lang w:val="uk-UA"/>
              </w:rPr>
              <w:t>14</w:t>
            </w:r>
          </w:p>
        </w:tc>
      </w:tr>
      <w:tr w:rsidR="00642C7A" w:rsidRPr="00642C7A" w14:paraId="47F3D097" w14:textId="77777777" w:rsidTr="00280253">
        <w:trPr>
          <w:trHeight w:val="384"/>
        </w:trPr>
        <w:tc>
          <w:tcPr>
            <w:tcW w:w="1316" w:type="dxa"/>
          </w:tcPr>
          <w:p w14:paraId="3E96179A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6766" w:type="dxa"/>
            <w:shd w:val="clear" w:color="auto" w:fill="auto"/>
          </w:tcPr>
          <w:p w14:paraId="1F1456B9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Поняття політичного режиму. Типологія політичних режимів. </w:t>
            </w:r>
          </w:p>
          <w:p w14:paraId="6A4FC0A2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Порівняльний аналіз демократичного, авторитарного та тоталітарного політичних режимів.</w:t>
            </w:r>
          </w:p>
          <w:p w14:paraId="109E075B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Відмінність політичного режиму від політичної системи. Ознаки та характерні риси політичних режимів. </w:t>
            </w:r>
          </w:p>
          <w:p w14:paraId="198CF53E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Вплив політичного режиму на парламентарну систему. </w:t>
            </w:r>
          </w:p>
          <w:p w14:paraId="4FA9146E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Політичний режим і демократія.</w:t>
            </w:r>
          </w:p>
        </w:tc>
        <w:tc>
          <w:tcPr>
            <w:tcW w:w="994" w:type="dxa"/>
            <w:shd w:val="clear" w:color="auto" w:fill="auto"/>
          </w:tcPr>
          <w:p w14:paraId="24818FB0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lang w:val="uk-UA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14:paraId="1972109B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315" w:lineRule="exact"/>
              <w:ind w:left="16" w:right="4"/>
              <w:jc w:val="center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lang w:val="uk-UA"/>
              </w:rPr>
              <w:t>14</w:t>
            </w:r>
          </w:p>
        </w:tc>
      </w:tr>
      <w:tr w:rsidR="00642C7A" w:rsidRPr="00642C7A" w14:paraId="27627FF3" w14:textId="77777777" w:rsidTr="00280253">
        <w:trPr>
          <w:trHeight w:val="378"/>
        </w:trPr>
        <w:tc>
          <w:tcPr>
            <w:tcW w:w="1316" w:type="dxa"/>
          </w:tcPr>
          <w:p w14:paraId="6F96193A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6766" w:type="dxa"/>
            <w:shd w:val="clear" w:color="auto" w:fill="auto"/>
          </w:tcPr>
          <w:p w14:paraId="6C52C73F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Визначення та характеристика виборчої системи.</w:t>
            </w:r>
          </w:p>
          <w:p w14:paraId="3EB29B6C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Різновиди виборчих систем. Мажоритарна, пропорційна та змішана виборчі системи. Прохідний бар’єр. Імперативний мандат. </w:t>
            </w:r>
          </w:p>
          <w:p w14:paraId="6501487D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Класифікація політичних виборів. Президентські, парламентські, місцеві вибори. Перші та повторні вибори. </w:t>
            </w:r>
          </w:p>
          <w:p w14:paraId="7D46BD78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Вибори як інструмент представницької демократії. </w:t>
            </w:r>
          </w:p>
          <w:p w14:paraId="1DDFB189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Головні принципи організації та проведення виборів.</w:t>
            </w:r>
          </w:p>
        </w:tc>
        <w:tc>
          <w:tcPr>
            <w:tcW w:w="994" w:type="dxa"/>
            <w:shd w:val="clear" w:color="auto" w:fill="auto"/>
          </w:tcPr>
          <w:p w14:paraId="29AAA1DF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lang w:val="uk-UA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14:paraId="1210BE55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315" w:lineRule="exact"/>
              <w:ind w:left="16" w:right="4"/>
              <w:jc w:val="center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lang w:val="uk-UA"/>
              </w:rPr>
              <w:t>14</w:t>
            </w:r>
          </w:p>
        </w:tc>
      </w:tr>
      <w:tr w:rsidR="00642C7A" w:rsidRPr="00642C7A" w14:paraId="71283B54" w14:textId="77777777" w:rsidTr="00280253">
        <w:trPr>
          <w:trHeight w:val="378"/>
        </w:trPr>
        <w:tc>
          <w:tcPr>
            <w:tcW w:w="1316" w:type="dxa"/>
          </w:tcPr>
          <w:p w14:paraId="08D3422E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6766" w:type="dxa"/>
            <w:shd w:val="clear" w:color="auto" w:fill="auto"/>
          </w:tcPr>
          <w:p w14:paraId="2B9E9B54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Поняття та типологія політичних партій і партійних структур. </w:t>
            </w:r>
          </w:p>
          <w:p w14:paraId="7EB9BD54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Однопартійна система, партія-домініон та партія-гегемон. </w:t>
            </w:r>
            <w:proofErr w:type="spellStart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Дво</w:t>
            </w:r>
            <w:proofErr w:type="spellEnd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та </w:t>
            </w:r>
            <w:proofErr w:type="spellStart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трипартійні</w:t>
            </w:r>
            <w:proofErr w:type="spellEnd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структури. Багато- та </w:t>
            </w:r>
            <w:proofErr w:type="spellStart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мультипартійні</w:t>
            </w:r>
            <w:proofErr w:type="spellEnd"/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структури. </w:t>
            </w:r>
          </w:p>
          <w:p w14:paraId="36A13B39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Шляхи розбудови партійних структур. </w:t>
            </w:r>
          </w:p>
          <w:p w14:paraId="6269CF59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Парламентаризм та представницькі органи: нові шляхи взаємодії. </w:t>
            </w:r>
          </w:p>
          <w:p w14:paraId="10447AC7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Класифікація партійної шкали: ліворадикальні, ліві, лівоцентристські, центристські, правоцентристські, праві, право </w:t>
            </w:r>
            <w:r w:rsidRPr="00642C7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радикальні політичні партії.</w:t>
            </w:r>
          </w:p>
        </w:tc>
        <w:tc>
          <w:tcPr>
            <w:tcW w:w="994" w:type="dxa"/>
            <w:shd w:val="clear" w:color="auto" w:fill="auto"/>
          </w:tcPr>
          <w:p w14:paraId="2E26D7EC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lang w:val="uk-UA"/>
              </w:rPr>
              <w:lastRenderedPageBreak/>
              <w:t>12</w:t>
            </w:r>
          </w:p>
        </w:tc>
        <w:tc>
          <w:tcPr>
            <w:tcW w:w="994" w:type="dxa"/>
            <w:shd w:val="clear" w:color="auto" w:fill="auto"/>
          </w:tcPr>
          <w:p w14:paraId="233631FB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315" w:lineRule="exact"/>
              <w:ind w:left="16" w:right="4"/>
              <w:jc w:val="center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10"/>
                <w:lang w:val="uk-UA"/>
              </w:rPr>
              <w:t>14</w:t>
            </w:r>
          </w:p>
        </w:tc>
      </w:tr>
      <w:tr w:rsidR="00642C7A" w:rsidRPr="00642C7A" w14:paraId="24FD7E93" w14:textId="77777777" w:rsidTr="00280253">
        <w:trPr>
          <w:trHeight w:val="369"/>
        </w:trPr>
        <w:tc>
          <w:tcPr>
            <w:tcW w:w="8082" w:type="dxa"/>
            <w:gridSpan w:val="2"/>
          </w:tcPr>
          <w:p w14:paraId="2F78FADB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spacing w:val="-4"/>
                <w:lang w:val="uk-UA"/>
              </w:rPr>
              <w:t>Разом</w:t>
            </w:r>
          </w:p>
        </w:tc>
        <w:tc>
          <w:tcPr>
            <w:tcW w:w="994" w:type="dxa"/>
          </w:tcPr>
          <w:p w14:paraId="4F3C686B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315" w:lineRule="exact"/>
              <w:ind w:left="16" w:right="3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lang w:val="uk-UA"/>
              </w:rPr>
              <w:t>72</w:t>
            </w:r>
          </w:p>
        </w:tc>
        <w:tc>
          <w:tcPr>
            <w:tcW w:w="994" w:type="dxa"/>
          </w:tcPr>
          <w:p w14:paraId="5B7EA7F0" w14:textId="77777777" w:rsidR="00642C7A" w:rsidRPr="00642C7A" w:rsidRDefault="00642C7A" w:rsidP="00642C7A">
            <w:pPr>
              <w:widowControl w:val="0"/>
              <w:autoSpaceDE w:val="0"/>
              <w:autoSpaceDN w:val="0"/>
              <w:spacing w:after="0" w:line="315" w:lineRule="exact"/>
              <w:ind w:left="16" w:right="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42C7A">
              <w:rPr>
                <w:rFonts w:ascii="Times New Roman" w:eastAsia="Calibri" w:hAnsi="Times New Roman" w:cs="Times New Roman"/>
                <w:lang w:val="uk-UA"/>
              </w:rPr>
              <w:t>86</w:t>
            </w:r>
          </w:p>
        </w:tc>
      </w:tr>
    </w:tbl>
    <w:p w14:paraId="091B292D" w14:textId="77777777" w:rsidR="00414261" w:rsidRDefault="00414261"/>
    <w:sectPr w:rsidR="0041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30460"/>
    <w:multiLevelType w:val="hybridMultilevel"/>
    <w:tmpl w:val="31D291D8"/>
    <w:lvl w:ilvl="0" w:tplc="92147C10">
      <w:start w:val="1"/>
      <w:numFmt w:val="decimal"/>
      <w:lvlText w:val="%1."/>
      <w:lvlJc w:val="left"/>
      <w:pPr>
        <w:ind w:left="1020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</w:rPr>
    </w:lvl>
    <w:lvl w:ilvl="1" w:tplc="F3E8D2CE">
      <w:numFmt w:val="bullet"/>
      <w:lvlText w:val="•"/>
      <w:lvlJc w:val="left"/>
      <w:pPr>
        <w:ind w:left="4440" w:hanging="284"/>
      </w:pPr>
      <w:rPr>
        <w:rFonts w:hint="default"/>
      </w:rPr>
    </w:lvl>
    <w:lvl w:ilvl="2" w:tplc="CEF06FFA">
      <w:numFmt w:val="bullet"/>
      <w:lvlText w:val="•"/>
      <w:lvlJc w:val="left"/>
      <w:pPr>
        <w:ind w:left="5120" w:hanging="284"/>
      </w:pPr>
      <w:rPr>
        <w:rFonts w:hint="default"/>
      </w:rPr>
    </w:lvl>
    <w:lvl w:ilvl="3" w:tplc="3D38DB62">
      <w:numFmt w:val="bullet"/>
      <w:lvlText w:val="•"/>
      <w:lvlJc w:val="left"/>
      <w:pPr>
        <w:ind w:left="5801" w:hanging="284"/>
      </w:pPr>
      <w:rPr>
        <w:rFonts w:hint="default"/>
      </w:rPr>
    </w:lvl>
    <w:lvl w:ilvl="4" w:tplc="CE145A34">
      <w:numFmt w:val="bullet"/>
      <w:lvlText w:val="•"/>
      <w:lvlJc w:val="left"/>
      <w:pPr>
        <w:ind w:left="6481" w:hanging="284"/>
      </w:pPr>
      <w:rPr>
        <w:rFonts w:hint="default"/>
      </w:rPr>
    </w:lvl>
    <w:lvl w:ilvl="5" w:tplc="D5C20E3A">
      <w:numFmt w:val="bullet"/>
      <w:lvlText w:val="•"/>
      <w:lvlJc w:val="left"/>
      <w:pPr>
        <w:ind w:left="7162" w:hanging="284"/>
      </w:pPr>
      <w:rPr>
        <w:rFonts w:hint="default"/>
      </w:rPr>
    </w:lvl>
    <w:lvl w:ilvl="6" w:tplc="3A2039A6">
      <w:numFmt w:val="bullet"/>
      <w:lvlText w:val="•"/>
      <w:lvlJc w:val="left"/>
      <w:pPr>
        <w:ind w:left="7842" w:hanging="284"/>
      </w:pPr>
      <w:rPr>
        <w:rFonts w:hint="default"/>
      </w:rPr>
    </w:lvl>
    <w:lvl w:ilvl="7" w:tplc="E1FADCE6">
      <w:numFmt w:val="bullet"/>
      <w:lvlText w:val="•"/>
      <w:lvlJc w:val="left"/>
      <w:pPr>
        <w:ind w:left="8522" w:hanging="284"/>
      </w:pPr>
      <w:rPr>
        <w:rFonts w:hint="default"/>
      </w:rPr>
    </w:lvl>
    <w:lvl w:ilvl="8" w:tplc="F006B1BA">
      <w:numFmt w:val="bullet"/>
      <w:lvlText w:val="•"/>
      <w:lvlJc w:val="left"/>
      <w:pPr>
        <w:ind w:left="920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7A"/>
    <w:rsid w:val="00414261"/>
    <w:rsid w:val="0064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372D"/>
  <w15:chartTrackingRefBased/>
  <w15:docId w15:val="{FE3D529B-AAA8-48D5-8AD2-9F3BE894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2025-08-24T14:02:00Z</dcterms:created>
  <dcterms:modified xsi:type="dcterms:W3CDTF">2025-08-24T14:03:00Z</dcterms:modified>
</cp:coreProperties>
</file>