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62" w:rsidRPr="00623662" w:rsidRDefault="00623662" w:rsidP="00623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62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BF3BFA">
        <w:rPr>
          <w:rFonts w:ascii="Times New Roman" w:hAnsi="Times New Roman" w:cs="Times New Roman"/>
          <w:b/>
          <w:sz w:val="28"/>
          <w:szCs w:val="28"/>
        </w:rPr>
        <w:t>№</w:t>
      </w:r>
      <w:r w:rsidR="00573F0A">
        <w:rPr>
          <w:rFonts w:ascii="Times New Roman" w:hAnsi="Times New Roman" w:cs="Times New Roman"/>
          <w:b/>
          <w:sz w:val="28"/>
          <w:szCs w:val="28"/>
        </w:rPr>
        <w:t>5</w:t>
      </w:r>
    </w:p>
    <w:p w:rsidR="00623662" w:rsidRPr="00623662" w:rsidRDefault="00623662" w:rsidP="006236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62">
        <w:rPr>
          <w:rFonts w:ascii="Times New Roman" w:hAnsi="Times New Roman" w:cs="Times New Roman"/>
          <w:b/>
          <w:sz w:val="28"/>
          <w:szCs w:val="28"/>
        </w:rPr>
        <w:t>Особливості героїчного епосу зрілого Середньов</w:t>
      </w:r>
      <w:r w:rsidRPr="004114F4">
        <w:rPr>
          <w:rFonts w:ascii="Times New Roman" w:hAnsi="Times New Roman" w:cs="Times New Roman"/>
          <w:b/>
          <w:sz w:val="28"/>
          <w:szCs w:val="28"/>
        </w:rPr>
        <w:t>іччя</w:t>
      </w:r>
    </w:p>
    <w:p w:rsidR="00623662" w:rsidRPr="00623662" w:rsidRDefault="00623662" w:rsidP="00623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6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23662" w:rsidRPr="00623662" w:rsidRDefault="00623662" w:rsidP="00623662">
      <w:pPr>
        <w:jc w:val="both"/>
        <w:rPr>
          <w:rFonts w:ascii="Times New Roman" w:hAnsi="Times New Roman" w:cs="Times New Roman"/>
          <w:sz w:val="28"/>
          <w:szCs w:val="28"/>
        </w:rPr>
      </w:pPr>
      <w:r w:rsidRPr="00623662">
        <w:rPr>
          <w:rFonts w:ascii="Times New Roman" w:hAnsi="Times New Roman" w:cs="Times New Roman"/>
          <w:sz w:val="28"/>
          <w:szCs w:val="28"/>
        </w:rPr>
        <w:t>1. Героїчний епос як закономірне явище літератури Середніх віків.</w:t>
      </w:r>
    </w:p>
    <w:p w:rsidR="00623662" w:rsidRPr="00623662" w:rsidRDefault="00623662" w:rsidP="00623662">
      <w:pPr>
        <w:jc w:val="both"/>
        <w:rPr>
          <w:rFonts w:ascii="Times New Roman" w:hAnsi="Times New Roman" w:cs="Times New Roman"/>
          <w:sz w:val="28"/>
          <w:szCs w:val="28"/>
        </w:rPr>
      </w:pPr>
      <w:r w:rsidRPr="00623662">
        <w:rPr>
          <w:rFonts w:ascii="Times New Roman" w:hAnsi="Times New Roman" w:cs="Times New Roman"/>
          <w:sz w:val="28"/>
          <w:szCs w:val="28"/>
        </w:rPr>
        <w:t>2. «Пісня про Роланда» – вершина французького національного епосу (історична основа поеми, проблематика та ідеї епосу, образна система твору, художні особливості «Пісні..»).</w:t>
      </w:r>
    </w:p>
    <w:p w:rsidR="00623662" w:rsidRPr="00623662" w:rsidRDefault="00623662" w:rsidP="00623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3662">
        <w:rPr>
          <w:rFonts w:ascii="Times New Roman" w:hAnsi="Times New Roman" w:cs="Times New Roman"/>
          <w:sz w:val="28"/>
          <w:szCs w:val="28"/>
        </w:rPr>
        <w:t xml:space="preserve">. Традиції та новаторство іспанського героїчного епосу «Пісня про мого </w:t>
      </w:r>
      <w:proofErr w:type="spellStart"/>
      <w:r w:rsidRPr="00623662">
        <w:rPr>
          <w:rFonts w:ascii="Times New Roman" w:hAnsi="Times New Roman" w:cs="Times New Roman"/>
          <w:sz w:val="28"/>
          <w:szCs w:val="28"/>
        </w:rPr>
        <w:t>Сіда</w:t>
      </w:r>
      <w:proofErr w:type="spellEnd"/>
      <w:r w:rsidRPr="00623662">
        <w:rPr>
          <w:rFonts w:ascii="Times New Roman" w:hAnsi="Times New Roman" w:cs="Times New Roman"/>
          <w:sz w:val="28"/>
          <w:szCs w:val="28"/>
        </w:rPr>
        <w:t>» (історична основа поеми, проблематика та ідеї епосу, образна система твору, художні особливості «Пісні..»).</w:t>
      </w:r>
    </w:p>
    <w:p w:rsidR="00041EFB" w:rsidRDefault="00623662" w:rsidP="00623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3662">
        <w:rPr>
          <w:rFonts w:ascii="Times New Roman" w:hAnsi="Times New Roman" w:cs="Times New Roman"/>
          <w:sz w:val="28"/>
          <w:szCs w:val="28"/>
        </w:rPr>
        <w:t xml:space="preserve">.  Своєрідність німецького епосу «Пісня про Нібелунгів» (історична основа поеми, проблематика та ідеї епосу, образна система твору, художні особливості </w:t>
      </w:r>
    </w:p>
    <w:p w:rsidR="00573F0A" w:rsidRPr="00573F0A" w:rsidRDefault="00573F0A" w:rsidP="00573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3F0A">
        <w:rPr>
          <w:rFonts w:ascii="Times New Roman" w:hAnsi="Times New Roman" w:cs="Times New Roman"/>
          <w:sz w:val="28"/>
          <w:szCs w:val="28"/>
        </w:rPr>
        <w:t xml:space="preserve">Германський  народно-героїчний  епос.  Відображення  його  в  </w:t>
      </w:r>
      <w:proofErr w:type="spellStart"/>
      <w:r w:rsidRPr="00573F0A">
        <w:rPr>
          <w:rFonts w:ascii="Times New Roman" w:hAnsi="Times New Roman" w:cs="Times New Roman"/>
          <w:sz w:val="28"/>
          <w:szCs w:val="28"/>
        </w:rPr>
        <w:t>давньонімецькій</w:t>
      </w:r>
      <w:proofErr w:type="spellEnd"/>
      <w:r w:rsidRPr="00573F0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 англосаксонській літературі (</w:t>
      </w:r>
      <w:r w:rsidRPr="00573F0A">
        <w:rPr>
          <w:rFonts w:ascii="Times New Roman" w:hAnsi="Times New Roman" w:cs="Times New Roman"/>
          <w:sz w:val="28"/>
          <w:szCs w:val="28"/>
        </w:rPr>
        <w:t xml:space="preserve">«Поема про </w:t>
      </w:r>
      <w:proofErr w:type="spellStart"/>
      <w:r w:rsidRPr="00573F0A">
        <w:rPr>
          <w:rFonts w:ascii="Times New Roman" w:hAnsi="Times New Roman" w:cs="Times New Roman"/>
          <w:sz w:val="28"/>
          <w:szCs w:val="28"/>
        </w:rPr>
        <w:t>Беовульфа</w:t>
      </w:r>
      <w:proofErr w:type="spellEnd"/>
      <w:r w:rsidRPr="00573F0A">
        <w:rPr>
          <w:rFonts w:ascii="Times New Roman" w:hAnsi="Times New Roman" w:cs="Times New Roman"/>
          <w:sz w:val="28"/>
          <w:szCs w:val="28"/>
        </w:rPr>
        <w:t>»).</w:t>
      </w:r>
    </w:p>
    <w:p w:rsidR="00623662" w:rsidRPr="004114F4" w:rsidRDefault="00623662" w:rsidP="00EE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F4"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623662" w:rsidRDefault="00623662" w:rsidP="00EE52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Зробити презентацію за підручником «Історія зарубіжної літератури середніх віків та Відродження» на тему: </w:t>
      </w:r>
      <w:r w:rsidR="004114F4">
        <w:rPr>
          <w:rFonts w:ascii="Times New Roman" w:hAnsi="Times New Roman" w:cs="Times New Roman"/>
          <w:sz w:val="28"/>
          <w:szCs w:val="28"/>
        </w:rPr>
        <w:t>«Література раннього Середньовіччя»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4F4">
        <w:rPr>
          <w:rFonts w:ascii="Times New Roman" w:hAnsi="Times New Roman" w:cs="Times New Roman"/>
          <w:sz w:val="28"/>
          <w:szCs w:val="28"/>
        </w:rPr>
        <w:t>(стр.26)</w:t>
      </w:r>
    </w:p>
    <w:p w:rsidR="004114F4" w:rsidRDefault="004114F4" w:rsidP="00EE52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Зробити презентацію за підручником «Історія зарубіжної літератури середніх віків та Відродження» на тему: «</w:t>
      </w:r>
      <w:r w:rsidR="00EE5254">
        <w:rPr>
          <w:rFonts w:ascii="Times New Roman" w:hAnsi="Times New Roman" w:cs="Times New Roman"/>
          <w:sz w:val="28"/>
          <w:szCs w:val="28"/>
        </w:rPr>
        <w:t xml:space="preserve">Лицарська </w:t>
      </w:r>
      <w:r w:rsidR="00EE5254">
        <w:rPr>
          <w:rFonts w:ascii="Times New Roman" w:hAnsi="Times New Roman" w:cs="Times New Roman"/>
          <w:sz w:val="28"/>
          <w:szCs w:val="28"/>
        </w:rPr>
        <w:tab/>
        <w:t>л</w:t>
      </w:r>
      <w:r>
        <w:rPr>
          <w:rFonts w:ascii="Times New Roman" w:hAnsi="Times New Roman" w:cs="Times New Roman"/>
          <w:sz w:val="28"/>
          <w:szCs w:val="28"/>
        </w:rPr>
        <w:t>ірика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E5254">
        <w:rPr>
          <w:rFonts w:ascii="Times New Roman" w:hAnsi="Times New Roman" w:cs="Times New Roman"/>
          <w:sz w:val="28"/>
          <w:szCs w:val="28"/>
        </w:rPr>
        <w:t>(стр.4</w:t>
      </w:r>
      <w:r>
        <w:rPr>
          <w:rFonts w:ascii="Times New Roman" w:hAnsi="Times New Roman" w:cs="Times New Roman"/>
          <w:sz w:val="28"/>
          <w:szCs w:val="28"/>
        </w:rPr>
        <w:t>6)</w:t>
      </w:r>
    </w:p>
    <w:p w:rsidR="00EE5254" w:rsidRDefault="00EE5254" w:rsidP="00EE525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Зробити презентацію за підручником «Історія зарубіжної літератури середніх віків та Відродження» на тему: «</w:t>
      </w:r>
      <w:r>
        <w:rPr>
          <w:rFonts w:ascii="Times New Roman" w:hAnsi="Times New Roman" w:cs="Times New Roman"/>
          <w:sz w:val="28"/>
          <w:szCs w:val="28"/>
        </w:rPr>
        <w:t>Лицарський роман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(стр.5</w:t>
      </w:r>
      <w:r>
        <w:rPr>
          <w:rFonts w:ascii="Times New Roman" w:hAnsi="Times New Roman" w:cs="Times New Roman"/>
          <w:sz w:val="28"/>
          <w:szCs w:val="28"/>
        </w:rPr>
        <w:t>6)</w:t>
      </w:r>
    </w:p>
    <w:p w:rsidR="00573F0A" w:rsidRDefault="00573F0A" w:rsidP="00573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3F0A" w:rsidRDefault="00573F0A" w:rsidP="00573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4BA6" w:rsidRPr="00384BA6" w:rsidRDefault="00384BA6" w:rsidP="00384BA6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84BA6">
        <w:rPr>
          <w:rFonts w:ascii="Times New Roman" w:hAnsi="Times New Roman" w:cs="Times New Roman"/>
          <w:b/>
          <w:sz w:val="28"/>
          <w:szCs w:val="28"/>
          <w:lang w:val="ru-RU"/>
        </w:rPr>
        <w:t>Література</w:t>
      </w:r>
      <w:proofErr w:type="spellEnd"/>
      <w:r w:rsidRPr="00384BA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84BA6" w:rsidRDefault="00384BA6" w:rsidP="00384BA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1.Давиденко Г.Й., Акуленко В.Л.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зарубіжної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середніх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віків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добиВідродження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– К., 2007. </w:t>
      </w:r>
    </w:p>
    <w:p w:rsidR="00384BA6" w:rsidRDefault="00384BA6" w:rsidP="00384BA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2.Козлик І. В.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Світова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доби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Середньовіччя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епохи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«Картина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Естетика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Поетика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>. Івано-Франківськ,2011.</w:t>
      </w:r>
    </w:p>
    <w:p w:rsidR="00384BA6" w:rsidRPr="00573F0A" w:rsidRDefault="00384BA6" w:rsidP="00384BA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3.Література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західноєвропейського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середньовіччя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ред. Н. О.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Висоцької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Навч.пос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–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2003. – 464 с. – (Вид. 2-е. —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Вінниця:НОВА</w:t>
      </w:r>
      <w:proofErr w:type="spellEnd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КНИГА, 2005.</w:t>
      </w:r>
    </w:p>
    <w:p w:rsidR="00384BA6" w:rsidRDefault="00384BA6" w:rsidP="00384BA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4BA6" w:rsidRDefault="00384BA6" w:rsidP="00573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E17" w:rsidRDefault="00A10E17" w:rsidP="00EE525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5254" w:rsidRDefault="00EE5254" w:rsidP="00EE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62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BF3BFA">
        <w:rPr>
          <w:rFonts w:ascii="Times New Roman" w:hAnsi="Times New Roman" w:cs="Times New Roman"/>
          <w:b/>
          <w:sz w:val="28"/>
          <w:szCs w:val="28"/>
        </w:rPr>
        <w:t>№</w:t>
      </w:r>
      <w:r w:rsidR="00BF3BFA">
        <w:rPr>
          <w:rFonts w:ascii="Times New Roman" w:hAnsi="Times New Roman" w:cs="Times New Roman"/>
          <w:b/>
          <w:sz w:val="28"/>
          <w:szCs w:val="28"/>
        </w:rPr>
        <w:t>7</w:t>
      </w:r>
    </w:p>
    <w:p w:rsidR="00E513D4" w:rsidRDefault="00EE5254" w:rsidP="00EE5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254">
        <w:rPr>
          <w:rFonts w:ascii="Times New Roman" w:hAnsi="Times New Roman" w:cs="Times New Roman"/>
          <w:b/>
          <w:sz w:val="28"/>
          <w:szCs w:val="28"/>
        </w:rPr>
        <w:t xml:space="preserve"> «Божественна комедія» Данте Аліг`єрі  як </w:t>
      </w:r>
      <w:proofErr w:type="spellStart"/>
      <w:r w:rsidRPr="00EE5254">
        <w:rPr>
          <w:rFonts w:ascii="Times New Roman" w:hAnsi="Times New Roman" w:cs="Times New Roman"/>
          <w:b/>
          <w:sz w:val="28"/>
          <w:szCs w:val="28"/>
        </w:rPr>
        <w:t>філософсько</w:t>
      </w:r>
      <w:proofErr w:type="spellEnd"/>
      <w:r w:rsidRPr="00EE5254">
        <w:rPr>
          <w:rFonts w:ascii="Times New Roman" w:hAnsi="Times New Roman" w:cs="Times New Roman"/>
          <w:b/>
          <w:sz w:val="28"/>
          <w:szCs w:val="28"/>
        </w:rPr>
        <w:t xml:space="preserve">-художній синтез культури доби Середньовіччя та втілення нових гуманістичних ідей </w:t>
      </w:r>
    </w:p>
    <w:p w:rsidR="00E513D4" w:rsidRPr="00384BA6" w:rsidRDefault="00EE5254" w:rsidP="00E5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B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1. Ідейна спрямованість та проблематика поеми Данте. 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lastRenderedPageBreak/>
        <w:t xml:space="preserve">2. Жанр «Божественної комедії». Зв’язок поеми з літературою видінь та з алегоричною поезією Середніх віків. Сенс назви поеми.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3. Різні плани змісту поеми: морально-релігійний, історико-політичний, біографічний. 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4. Образна система поеми. Групи персонажів.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5. Реалізація авторських поглядів та світосприйняття в структурі Пекла, Чистилища, Раю.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6. Багатозначність символіко-алегоричної системи Данте. </w:t>
      </w:r>
    </w:p>
    <w:p w:rsidR="00E513D4" w:rsidRPr="00E513D4" w:rsidRDefault="00E513D4" w:rsidP="00E5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3D4" w:rsidRPr="00BF3BFA" w:rsidRDefault="00EE5254" w:rsidP="00BF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FA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1. Назвіть українських поетів – перекладачів «Божественної комедії» Данте. Поясніть, чому саме «Пекло» найчастіше було об’єктом перекладу? </w:t>
      </w:r>
    </w:p>
    <w:p w:rsid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2. Відтворіть за допомогою схеми концепцію світу в «Божественній комедії». </w:t>
      </w:r>
    </w:p>
    <w:p w:rsidR="00E513D4" w:rsidRPr="00E513D4" w:rsidRDefault="00EE5254" w:rsidP="00E5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3D4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1. Данте і Україна / Уклав М. Стріха.  К., 2000.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2. Данте.  Божественна  комедія  /  Пер.  з 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 і  коментарі  Є.А.  Дроб’язка;  Передмова О.Б.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Алексєєнко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Харків: Фоліо, 2001. 607 с.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3. Кирилюк З. В. Література Середньовіччя. Посібник для вчителя. Харків: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: Видавництво «Ранок», 2003. 176 с.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Прокаєв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 Ф.І.  та  ін.  Зарубіжна  література.  Античність.  Середні  віки. Відродження. К.: ВШ, 1994. </w:t>
      </w:r>
    </w:p>
    <w:p w:rsidR="00E513D4" w:rsidRPr="00E513D4" w:rsidRDefault="00EE5254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E513D4">
        <w:rPr>
          <w:rFonts w:ascii="Times New Roman" w:hAnsi="Times New Roman" w:cs="Times New Roman"/>
          <w:sz w:val="28"/>
          <w:szCs w:val="28"/>
        </w:rPr>
        <w:t xml:space="preserve">5.   Франко І.Я. Данте Аліг’єрі. Характеристика середніх віків. Життя поета і вибір з його поезій. Дантова друга любов //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Зібр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.: У 50 т. Т. 12.    К., 1978 6. </w:t>
      </w:r>
      <w:proofErr w:type="spellStart"/>
      <w:r w:rsidRPr="00E513D4">
        <w:rPr>
          <w:rFonts w:ascii="Times New Roman" w:hAnsi="Times New Roman" w:cs="Times New Roman"/>
          <w:sz w:val="28"/>
          <w:szCs w:val="28"/>
        </w:rPr>
        <w:t>Шалагінов</w:t>
      </w:r>
      <w:proofErr w:type="spellEnd"/>
      <w:r w:rsidRPr="00E513D4">
        <w:rPr>
          <w:rFonts w:ascii="Times New Roman" w:hAnsi="Times New Roman" w:cs="Times New Roman"/>
          <w:sz w:val="28"/>
          <w:szCs w:val="28"/>
        </w:rPr>
        <w:t xml:space="preserve">  Б.  Зарубіжна  література.  Від  античності  до  початку  ХІХ сторіччя.  К., 2007. </w:t>
      </w:r>
    </w:p>
    <w:p w:rsidR="00BF3BFA" w:rsidRDefault="00BF3BFA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13D4" w:rsidRPr="00E513D4">
        <w:rPr>
          <w:rFonts w:ascii="Times New Roman" w:hAnsi="Times New Roman" w:cs="Times New Roman"/>
          <w:sz w:val="28"/>
          <w:szCs w:val="28"/>
        </w:rPr>
        <w:t xml:space="preserve">Данте Аліг’єрі. Божественна комедія. Пекло / пер. М. Стріха. 2-ге вид. Львів: Астролябія, 2017. 352 с. URL: </w:t>
      </w:r>
      <w:hyperlink r:id="rId5" w:history="1">
        <w:r w:rsidRPr="0079218B">
          <w:rPr>
            <w:rStyle w:val="a4"/>
            <w:rFonts w:ascii="Times New Roman" w:hAnsi="Times New Roman" w:cs="Times New Roman"/>
            <w:sz w:val="28"/>
            <w:szCs w:val="28"/>
          </w:rPr>
          <w:t>http://shron1.chtyvo.org.ua/Dante_Aligieri/Bozhestvenna_komediia_Peklo_vyd_201 7.pdf</w:t>
        </w:r>
      </w:hyperlink>
    </w:p>
    <w:p w:rsidR="00BF3BFA" w:rsidRDefault="00BF3BFA" w:rsidP="00E51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BFA" w:rsidRDefault="00BF3BFA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8</w:t>
      </w:r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Данте Аліґ'єрі. Божественна комедія. Пекло /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з іт. Богдан I.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Лончина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Львів: Вид-во Українського Католицького Університету 2007. 276 с. URL: </w:t>
      </w:r>
      <w:hyperlink r:id="rId6" w:history="1">
        <w:r w:rsidRPr="0079218B">
          <w:rPr>
            <w:rStyle w:val="a4"/>
            <w:rFonts w:ascii="Times New Roman" w:hAnsi="Times New Roman" w:cs="Times New Roman"/>
            <w:sz w:val="28"/>
            <w:szCs w:val="28"/>
          </w:rPr>
          <w:t>http://shron1.chtyvo.org.ua/Dante_Aligieri/Bozhestvenna_komediia_Peklo.pdf</w:t>
        </w:r>
      </w:hyperlink>
      <w:r w:rsidR="00E513D4" w:rsidRPr="00E5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BFA" w:rsidRDefault="00BF3BFA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BF3BF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 М. С.,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Рубанова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 Г. Л., Моторний В. А. Історія зарубіжної літератури. Середні віки та Відродження: підручник для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ун-тів. Вид. 3-є, перероб. і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Львів: </w:t>
      </w:r>
      <w:r>
        <w:rPr>
          <w:rFonts w:ascii="Times New Roman" w:hAnsi="Times New Roman" w:cs="Times New Roman"/>
          <w:sz w:val="28"/>
          <w:szCs w:val="28"/>
        </w:rPr>
        <w:t>Світ, 1993. 312 с. – С. 110–122</w:t>
      </w:r>
    </w:p>
    <w:p w:rsidR="00BF3BFA" w:rsidRPr="00BF3BFA" w:rsidRDefault="00E513D4" w:rsidP="00E513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3D4">
        <w:rPr>
          <w:rFonts w:ascii="Times New Roman" w:hAnsi="Times New Roman" w:cs="Times New Roman"/>
          <w:sz w:val="28"/>
          <w:szCs w:val="28"/>
        </w:rPr>
        <w:t>URL:</w:t>
      </w:r>
      <w:r w:rsidR="00BF3BFA">
        <w:rPr>
          <w:rFonts w:ascii="Times New Roman" w:hAnsi="Times New Roman" w:cs="Times New Roman"/>
          <w:sz w:val="28"/>
          <w:szCs w:val="28"/>
        </w:rPr>
        <w:t xml:space="preserve"> </w:t>
      </w:r>
      <w:r w:rsidRPr="00E513D4">
        <w:rPr>
          <w:rFonts w:ascii="Times New Roman" w:hAnsi="Times New Roman" w:cs="Times New Roman"/>
          <w:sz w:val="28"/>
          <w:szCs w:val="28"/>
        </w:rPr>
        <w:t>http://kozlyk.pu.if.ua/depart/ihor.kozlyk/resource/file/pdf/Львівський%20</w:t>
      </w:r>
      <w:r w:rsidR="00BF3BFA">
        <w:rPr>
          <w:rFonts w:ascii="Times New Roman" w:hAnsi="Times New Roman" w:cs="Times New Roman"/>
          <w:sz w:val="28"/>
          <w:szCs w:val="28"/>
        </w:rPr>
        <w:t>підр учник%201993%20року(1).</w:t>
      </w:r>
      <w:proofErr w:type="spellStart"/>
      <w:r w:rsidR="00BF3BFA">
        <w:rPr>
          <w:rFonts w:ascii="Times New Roman" w:hAnsi="Times New Roman" w:cs="Times New Roman"/>
          <w:sz w:val="28"/>
          <w:szCs w:val="28"/>
        </w:rPr>
        <w:t>pd</w:t>
      </w:r>
      <w:proofErr w:type="spellEnd"/>
      <w:r w:rsidR="00BF3BFA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E513D4" w:rsidRDefault="00BF3BFA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 w:rsidRPr="00BF3BF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513D4" w:rsidRPr="00E51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13D4" w:rsidRPr="00E513D4">
        <w:rPr>
          <w:rFonts w:ascii="Times New Roman" w:hAnsi="Times New Roman" w:cs="Times New Roman"/>
          <w:sz w:val="28"/>
          <w:szCs w:val="28"/>
        </w:rPr>
        <w:t>Шалагінов</w:t>
      </w:r>
      <w:proofErr w:type="spell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 Б. Б. Зарубіжна література: Від античності </w:t>
      </w:r>
      <w:proofErr w:type="gramStart"/>
      <w:r w:rsidR="00E513D4" w:rsidRPr="00E513D4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="00E513D4" w:rsidRPr="00E513D4">
        <w:rPr>
          <w:rFonts w:ascii="Times New Roman" w:hAnsi="Times New Roman" w:cs="Times New Roman"/>
          <w:sz w:val="28"/>
          <w:szCs w:val="28"/>
        </w:rPr>
        <w:t xml:space="preserve"> ХІХ ст. Київ: Вид. дім „КМ Академія”, 2004. 360 с. (С. 136–148)</w:t>
      </w:r>
    </w:p>
    <w:p w:rsidR="00384BA6" w:rsidRPr="00E513D4" w:rsidRDefault="00384BA6" w:rsidP="00E51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західноєвропейського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середньовіччя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ред. Н. О.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Висоцької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Навч.пос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– </w:t>
      </w:r>
      <w:proofErr w:type="spell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: НОВА КНИГА, 2003. – 464 с. – (Вид. 2-е. — </w:t>
      </w:r>
      <w:proofErr w:type="spellStart"/>
      <w:proofErr w:type="gramStart"/>
      <w:r w:rsidRPr="00AE10B7">
        <w:rPr>
          <w:rFonts w:ascii="Times New Roman" w:hAnsi="Times New Roman" w:cs="Times New Roman"/>
          <w:sz w:val="28"/>
          <w:szCs w:val="28"/>
          <w:lang w:val="ru-RU"/>
        </w:rPr>
        <w:t>Вінниця:НОВА</w:t>
      </w:r>
      <w:proofErr w:type="spellEnd"/>
      <w:proofErr w:type="gramEnd"/>
      <w:r w:rsidRPr="00AE10B7">
        <w:rPr>
          <w:rFonts w:ascii="Times New Roman" w:hAnsi="Times New Roman" w:cs="Times New Roman"/>
          <w:sz w:val="28"/>
          <w:szCs w:val="28"/>
          <w:lang w:val="ru-RU"/>
        </w:rPr>
        <w:t xml:space="preserve"> КНИГА, 2005.</w:t>
      </w:r>
      <w:bookmarkEnd w:id="0"/>
    </w:p>
    <w:sectPr w:rsidR="00384BA6" w:rsidRPr="00E513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DA1"/>
    <w:multiLevelType w:val="hybridMultilevel"/>
    <w:tmpl w:val="B444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0860"/>
    <w:multiLevelType w:val="hybridMultilevel"/>
    <w:tmpl w:val="9846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04"/>
    <w:rsid w:val="00041EFB"/>
    <w:rsid w:val="00384BA6"/>
    <w:rsid w:val="004114F4"/>
    <w:rsid w:val="00573F0A"/>
    <w:rsid w:val="00623662"/>
    <w:rsid w:val="00A10E17"/>
    <w:rsid w:val="00A35BE4"/>
    <w:rsid w:val="00A45D04"/>
    <w:rsid w:val="00AE10B7"/>
    <w:rsid w:val="00B2660D"/>
    <w:rsid w:val="00BF3BFA"/>
    <w:rsid w:val="00E513D4"/>
    <w:rsid w:val="00E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EDBFC"/>
  <w15:chartTrackingRefBased/>
  <w15:docId w15:val="{7A49A437-DEBC-4595-95DE-35908078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1.chtyvo.org.ua/Dante_Aligieri/Bozhestvenna_komediia_Peklo.pdf" TargetMode="External"/><Relationship Id="rId5" Type="http://schemas.openxmlformats.org/officeDocument/2006/relationships/hyperlink" Target="http://shron1.chtyvo.org.ua/Dante_Aligieri/Bozhestvenna_komediia_Peklo_vyd_201%2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534</Words>
  <Characters>3672</Characters>
  <Application>Microsoft Office Word</Application>
  <DocSecurity>0</DocSecurity>
  <Lines>114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2024-11-17T14:10:00Z</dcterms:created>
  <dcterms:modified xsi:type="dcterms:W3CDTF">2024-11-17T14:12:00Z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b44abc46d72c609164c09840fe3351b4f88f4ee83325392f6977a46be595ad57</vt:lpwstr>
  </property>
</Properties>
</file>