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B8" w:rsidRPr="00A576B8" w:rsidRDefault="00A576B8" w:rsidP="00A57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Жанрова своєрідність давньогрецької трагедії</w:t>
      </w:r>
    </w:p>
    <w:p w:rsidR="00A576B8" w:rsidRPr="00A576B8" w:rsidRDefault="00A576B8" w:rsidP="00A57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( трилогія Есхіла «орестея»)</w:t>
      </w:r>
    </w:p>
    <w:p w:rsidR="00A576B8" w:rsidRPr="00A576B8" w:rsidRDefault="00A576B8" w:rsidP="00A576B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434340" cy="426720"/>
            <wp:effectExtent l="0" t="0" r="3810" b="0"/>
            <wp:docPr id="11" name="Рисунок 11" descr="check-mar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-mark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розглянути трилогію Есхіла, визначити особливості </w:t>
      </w:r>
      <w:proofErr w:type="spellStart"/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сюжетобудови</w:t>
      </w:r>
      <w:proofErr w:type="spellEnd"/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 </w:t>
      </w:r>
      <w:proofErr w:type="spellStart"/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характеротворення</w:t>
      </w:r>
      <w:proofErr w:type="spellEnd"/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; встановити механізми втілення авторської оцінки і світогляду; проаналізувати засоби поетики та прийоми впливу на глядача давньогрецького театру.</w:t>
      </w:r>
    </w:p>
    <w:p w:rsidR="00A576B8" w:rsidRPr="00A576B8" w:rsidRDefault="00A576B8" w:rsidP="00A576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93420" cy="434340"/>
            <wp:effectExtent l="0" t="0" r="0" b="3810"/>
            <wp:docPr id="10" name="Рисунок 10" descr="lets-tal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s-talk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обговорення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576B8" w:rsidRPr="00A576B8" w:rsidRDefault="00A576B8" w:rsidP="00A576B8">
      <w:pPr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Значення театру в давньогрецькому суспільстві. </w:t>
      </w:r>
    </w:p>
    <w:p w:rsidR="00A576B8" w:rsidRPr="00A576B8" w:rsidRDefault="00A576B8" w:rsidP="00A576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1: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підготовці відповіді на питання слід пояснити специфіку давньогрецького театру в порівнянні із сучасним театральним мистецтвом. Вказати ритуальні і релігійні функції театру.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Міф про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Атридів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основа сюжету трилогії Есхіла.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Сюжетотворче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значення мотиву кровної помсти. </w:t>
      </w:r>
    </w:p>
    <w:p w:rsidR="00A576B8" w:rsidRPr="00A576B8" w:rsidRDefault="00A576B8" w:rsidP="00A576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       Рекомендації до підготовки відповіді на питання 2: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Питання передбачає звернення до сюжету міфу про прокляття роду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Атридів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Передбачається детальний розгляд усіх міфологічних подій, що передували сюжету «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Орестеї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Есхіла. Зокрема, має бути з’ясована роль Тантала,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Пелопса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Атрея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Фієста,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Іфігенії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Егіста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розвитку подій міфу.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 і характер реалізації архаїчних ритуальних моделей в фабулі твору (заклання, принесення жертви, молитва, отримання пророцтва та ін.).</w:t>
      </w:r>
    </w:p>
    <w:p w:rsidR="00A576B8" w:rsidRPr="00A576B8" w:rsidRDefault="00A576B8" w:rsidP="00A576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       Рекомендації до підготовки відповіді на питання 3: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Відповідь передбачає встановлення функцій архаїчних ритуалів в сюжеті трилогії. Пропонуються для аналізу такі епізоди: зустріч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Клітемнестрою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Агамемнона і ритуал пурпурового килима; ритуали, 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здійснені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Клітемнестро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вбивства Агамемнона; пророцтва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Касандри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молитва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Електри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могилі Агамемнона; 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Орестея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у перекладі Андрія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Содомори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https://chtyvo.org.ua/authors/Eskhil/Trahedii_zb/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Співвідношення аспектів родової моралі та ціннісних категорій нового світогляду (поняття особистої провини та відповідальності).</w:t>
      </w:r>
    </w:p>
    <w:p w:rsidR="00A576B8" w:rsidRPr="00A576B8" w:rsidRDefault="00A576B8" w:rsidP="00A576B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      </w:t>
      </w:r>
      <w:proofErr w:type="spellStart"/>
      <w:r w:rsidRPr="00A576B8">
        <w:rPr>
          <w:rFonts w:ascii="Times New Roman" w:eastAsia="Times New Roman" w:hAnsi="Times New Roman" w:cs="Times New Roman"/>
          <w:b/>
          <w:lang w:eastAsia="ru-RU"/>
        </w:rPr>
        <w:t>Рекомендації</w:t>
      </w:r>
      <w:proofErr w:type="spellEnd"/>
      <w:r w:rsidRPr="00A576B8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proofErr w:type="spellStart"/>
      <w:proofErr w:type="gramStart"/>
      <w:r w:rsidRPr="00A576B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A576B8">
        <w:rPr>
          <w:rFonts w:ascii="Times New Roman" w:eastAsia="Times New Roman" w:hAnsi="Times New Roman" w:cs="Times New Roman"/>
          <w:b/>
          <w:lang w:eastAsia="ru-RU"/>
        </w:rPr>
        <w:t>ідготовки</w:t>
      </w:r>
      <w:proofErr w:type="spellEnd"/>
      <w:r w:rsidRPr="00A576B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b/>
          <w:lang w:eastAsia="ru-RU"/>
        </w:rPr>
        <w:t>відповіді</w:t>
      </w:r>
      <w:proofErr w:type="spellEnd"/>
      <w:r w:rsidRPr="00A576B8">
        <w:rPr>
          <w:rFonts w:ascii="Times New Roman" w:eastAsia="Times New Roman" w:hAnsi="Times New Roman" w:cs="Times New Roman"/>
          <w:b/>
          <w:lang w:eastAsia="ru-RU"/>
        </w:rPr>
        <w:t xml:space="preserve"> на </w:t>
      </w:r>
      <w:proofErr w:type="spellStart"/>
      <w:r w:rsidRPr="00A576B8">
        <w:rPr>
          <w:rFonts w:ascii="Times New Roman" w:eastAsia="Times New Roman" w:hAnsi="Times New Roman" w:cs="Times New Roman"/>
          <w:b/>
          <w:lang w:eastAsia="ru-RU"/>
        </w:rPr>
        <w:t>питання</w:t>
      </w:r>
      <w:proofErr w:type="spellEnd"/>
      <w:r w:rsidRPr="00A576B8">
        <w:rPr>
          <w:rFonts w:ascii="Times New Roman" w:eastAsia="Times New Roman" w:hAnsi="Times New Roman" w:cs="Times New Roman"/>
          <w:b/>
          <w:lang w:eastAsia="ru-RU"/>
        </w:rPr>
        <w:t xml:space="preserve"> 4</w:t>
      </w:r>
    </w:p>
    <w:p w:rsidR="00A576B8" w:rsidRPr="00A576B8" w:rsidRDefault="00A576B8" w:rsidP="00A576B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передбачає інтерпретацію третьої частини трагедії «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Евменіди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Слід проаналізувати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сену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над Орестом, виявити її ідеологічне  значення.</w:t>
      </w:r>
    </w:p>
    <w:p w:rsidR="00A576B8" w:rsidRPr="00A576B8" w:rsidRDefault="00A576B8" w:rsidP="00A576B8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220" cy="617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поняття: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трагедія, міф, культ, оргія, ритуал, архаїчний закон,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аполлонічне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діонісійське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парод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стасім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епісодій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корифей, протагоніст, трагічна колізія, трагічна іронія.</w:t>
      </w:r>
    </w:p>
    <w:p w:rsidR="00A576B8" w:rsidRPr="00A576B8" w:rsidRDefault="00A576B8" w:rsidP="00A576B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0560" cy="670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Завдання: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bookmarkStart w:id="0" w:name="_Hlk157870262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наведеному фрагменті «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Орестеї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визначте специфіку зображення ритуальної поведінки. Які функції в сюжеті виконує даний епізод? Які засоби використані для підсилення драматичної дії?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…. ЕЛЕКТРА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Славетний мертвих і живих окличнику,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Гермесе, тінь отця мого окликнувши,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Подбай, щоби схилились до благань моїх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Боги глибинні, прийняли ж бо кров його,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сама земля, що вічно все народжує,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Ростить і знову зачинає плід новий!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Священну воду мертвим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узливаючи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кличу батька: «Зглянься на дочку свою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Ореста, сина! Зволь хазяйнувати нам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власнім домі; ми ж – рабами в матері,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з другим ділить ложе: в неї муж тепер –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Егіст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з нею разом убивав тебе.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них я – за служницю; брата – вигнано,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Мов жебрака якого… Та вони зате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кривді твоїй, батьку, все годять собі.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випадок щасливий приведе сюди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Ореста. Не відмов же, батьку, в просьбі тій!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Мені ж, дочці, дай серце благородніше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чистіші, кращі руки, ніж у матері!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 собі я зичу. Ну, а недругам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Хай месник суд учинить, - і за скоєне –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кров пролиту – кров’ю хай розплатяться.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 в свою молитву довелось мені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Ввести прокляття – смерті побажати їм.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нам – шли радість, батьку, з допомогою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Богів, Землі і Правди-переможниці!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таким благанням узливання звершую.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 поплачте,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потужіть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звичаєм,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співом слізним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пошануйте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мертвого.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Дайте ж волю сльозам лунким!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Мертвому владарю – гідний померлого плач.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могили ж його припадаєм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у радості, так і в печалі.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Узливаючи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просимо: вислухай нас,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Найвеличніший!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землею почуй, о володарю!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ж той захисник наш – воїн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могутливий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Щоб, не вагаючись, лук чи то спис узяв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до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двобою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став, дім визволяючи?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ЕЛЕКТРА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Земля ввібрала жертву. Радий батько їй.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а тепер вам, любі, щось нове скажу… </w:t>
      </w:r>
    </w:p>
    <w:p w:rsidR="00A576B8" w:rsidRPr="00A576B8" w:rsidRDefault="00A576B8" w:rsidP="00A576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Переклад А.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Содомори</w:t>
      </w:r>
      <w:proofErr w:type="spellEnd"/>
    </w:p>
    <w:bookmarkEnd w:id="0"/>
    <w:p w:rsidR="00A576B8" w:rsidRPr="00A576B8" w:rsidRDefault="00A576B8" w:rsidP="00A576B8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Проаналізуйте фраґмент театральної постановки з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«</w:t>
      </w:r>
      <w:proofErr w:type="spellStart"/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Орестеєю</w:t>
      </w:r>
      <w:proofErr w:type="spellEnd"/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»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Е</w:t>
      </w:r>
      <w:proofErr w:type="spellStart"/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схіла</w:t>
      </w:r>
      <w:proofErr w:type="spellEnd"/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: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 </w:t>
      </w:r>
      <w:hyperlink r:id="rId10" w:history="1"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https://www.youtube.com/watch?v=-1BYVaz-1pI</w:t>
        </w:r>
      </w:hyperlink>
    </w:p>
    <w:p w:rsidR="00A576B8" w:rsidRPr="00A576B8" w:rsidRDefault="00A576B8" w:rsidP="00A576B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</w:pPr>
      <w:r w:rsidRPr="00A576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 xml:space="preserve">Порівняйте текст трагедії з наданим фраґментом. Зробіть висновок про специфіку сценічної трансформації трагедії Есхіла. Якими засобами формується трагічний пафос? Які прийоми психологічного напруження використані в даній театральній інтерпретації?  Які загальні особливості грецької трагедії знайшли вираження у даному фрагменті? </w:t>
      </w:r>
    </w:p>
    <w:p w:rsidR="00A576B8" w:rsidRPr="00A576B8" w:rsidRDefault="00A576B8" w:rsidP="00A57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576B8" w:rsidRPr="00A576B8" w:rsidRDefault="00A576B8" w:rsidP="00A576B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Основна:</w:t>
      </w:r>
    </w:p>
    <w:p w:rsidR="00A576B8" w:rsidRPr="00A576B8" w:rsidRDefault="00A576B8" w:rsidP="00A576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23761132"/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Клековкін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Античний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театр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авч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іб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иїв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Київський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Національний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університет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театру,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кіно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телебачення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ім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І. К.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Карпенка-Карого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видавництво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АртЕк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2007.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320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hyperlink r:id="rId12" w:history="1"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https://chtyvo.org.ua/authors/Klekovkin_Oleksandr/Antychnyi_teatr_Navchalnyi_posibnyk_dlia_vyschykh_navchalnykh_zakladiv_mystetstv_i_kultury/</w:t>
        </w:r>
      </w:hyperlink>
    </w:p>
    <w:p w:rsidR="00A576B8" w:rsidRPr="00A576B8" w:rsidRDefault="00A576B8" w:rsidP="00A576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Левко О. Давньогрецький театр як іпостась античного полісу </w:t>
      </w:r>
      <w:hyperlink r:id="rId13" w:history="1"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youtube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com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watch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?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=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</w:t>
        </w:r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_</w:t>
        </w:r>
        <w:proofErr w:type="spellStart"/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EvcFqbSTA</w:t>
        </w:r>
        <w:proofErr w:type="spellEnd"/>
      </w:hyperlink>
    </w:p>
    <w:p w:rsidR="00A576B8" w:rsidRPr="00A576B8" w:rsidRDefault="00A576B8" w:rsidP="00A576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Содомора</w:t>
      </w:r>
      <w:proofErr w:type="spellEnd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А.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глибин людської душі </w:t>
      </w:r>
      <w:hyperlink r:id="rId14" w:history="1"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http://ae-lib.org.ua/texts/sodomora__euripidus__ua.htm</w:t>
        </w:r>
      </w:hyperlink>
    </w:p>
    <w:p w:rsidR="00A576B8" w:rsidRPr="00A576B8" w:rsidRDefault="00A576B8" w:rsidP="00A576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Шкаруба</w:t>
      </w:r>
      <w:proofErr w:type="spellEnd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Л.М</w:t>
      </w: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Древнегреческая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трагедия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от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Эсхила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Эврипида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576B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Всесвітня література та культура в навчальних закладах України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2004. № 11. С. 9-19.</w:t>
      </w:r>
    </w:p>
    <w:bookmarkEnd w:id="1"/>
    <w:p w:rsidR="00A576B8" w:rsidRPr="00A576B8" w:rsidRDefault="00A576B8" w:rsidP="00A576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Миронова В., Михайлова О.,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Мегела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Антична література :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 : Либідь, 2005. 488 с.</w:t>
      </w:r>
    </w:p>
    <w:p w:rsidR="00A576B8" w:rsidRPr="00A576B8" w:rsidRDefault="00A576B8" w:rsidP="00A576B8">
      <w:pPr>
        <w:tabs>
          <w:tab w:val="left" w:pos="720"/>
        </w:tabs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Додаткова: </w:t>
      </w:r>
    </w:p>
    <w:p w:rsidR="00A576B8" w:rsidRPr="00A576B8" w:rsidRDefault="00A576B8" w:rsidP="00A576B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ідлісна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: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1992. 267 с.</w:t>
      </w:r>
    </w:p>
    <w:p w:rsidR="00A576B8" w:rsidRPr="00A576B8" w:rsidRDefault="00A576B8" w:rsidP="00A576B8">
      <w:pPr>
        <w:numPr>
          <w:ilvl w:val="0"/>
          <w:numId w:val="7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tooltip="Ковбасенко Юрій Іванович" w:history="1">
        <w:proofErr w:type="spellStart"/>
        <w:r w:rsidRPr="00A576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Ковбасенко</w:t>
        </w:r>
        <w:proofErr w:type="spellEnd"/>
        <w:r w:rsidRPr="00A576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Ю. І.</w:t>
        </w:r>
      </w:hyperlink>
      <w:r w:rsidRPr="00A576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Антична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иїв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Київський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Бориса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Грінченка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 248 с.</w:t>
      </w:r>
    </w:p>
    <w:p w:rsidR="00A576B8" w:rsidRPr="00A576B8" w:rsidRDefault="00A576B8" w:rsidP="00A576B8">
      <w:pPr>
        <w:numPr>
          <w:ilvl w:val="0"/>
          <w:numId w:val="7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Мегела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І.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давньогрецької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лекцій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иїв</w:t>
      </w:r>
      <w:proofErr w:type="spellEnd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Видавець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Карпенко В. М., 2010.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138 с.</w:t>
      </w:r>
    </w:p>
    <w:p w:rsidR="00A576B8" w:rsidRPr="00A576B8" w:rsidRDefault="00A576B8" w:rsidP="00A576B8">
      <w:pPr>
        <w:numPr>
          <w:ilvl w:val="0"/>
          <w:numId w:val="7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Пригодій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С. М. Література давньої Греції 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посіб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Київ : Київський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держ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лінгвістичний ун-т, 1999. 132 с.</w:t>
      </w:r>
    </w:p>
    <w:p w:rsidR="00A576B8" w:rsidRPr="00A576B8" w:rsidRDefault="00A576B8" w:rsidP="00A576B8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A576B8" w:rsidRPr="00A576B8" w:rsidRDefault="00A576B8" w:rsidP="00A576B8">
      <w:p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740" cy="10591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B8" w:rsidRPr="00A576B8" w:rsidRDefault="00A576B8" w:rsidP="00A576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Семінар № 6</w:t>
      </w:r>
    </w:p>
    <w:p w:rsidR="00A576B8" w:rsidRPr="00A576B8" w:rsidRDefault="00A576B8" w:rsidP="00A57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Жанрово-стильова своєрідність давньої аттичної комедії (АрІстофан «Хмари», «жаби»)</w:t>
      </w:r>
    </w:p>
    <w:p w:rsidR="00A576B8" w:rsidRPr="00A576B8" w:rsidRDefault="00A576B8" w:rsidP="00A576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" cy="426720"/>
            <wp:effectExtent l="0" t="0" r="3810" b="0"/>
            <wp:docPr id="5" name="Рисунок 5" descr="check-mar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ck-mark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Мета: </w:t>
      </w:r>
      <w:r w:rsidRPr="00A576B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визначити особливості тематики, сюжету і структури давньої аттичної комедії на прикладі творів </w:t>
      </w:r>
      <w:proofErr w:type="spellStart"/>
      <w:r w:rsidRPr="00A576B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Арістофана</w:t>
      </w:r>
      <w:proofErr w:type="spellEnd"/>
      <w:r w:rsidRPr="00A576B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 Встановити специфіку давньогрецького гумору, його природу і особливості досягнення комічного ефекту.</w:t>
      </w:r>
    </w:p>
    <w:p w:rsidR="00A576B8" w:rsidRPr="00A576B8" w:rsidRDefault="00A576B8" w:rsidP="00A576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3420" cy="434340"/>
            <wp:effectExtent l="0" t="0" r="0" b="3810"/>
            <wp:docPr id="4" name="Рисунок 4" descr="lets-tal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ts-talk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обговорення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576B8" w:rsidRPr="00A576B8" w:rsidRDefault="00A576B8" w:rsidP="00A576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Походження давньої аттичної комедії та її структура.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Рекомендації до підготовки відповіді на питання </w:t>
      </w:r>
      <w:r w:rsidRPr="00A576B8">
        <w:rPr>
          <w:rFonts w:ascii="Times New Roman" w:eastAsia="Times New Roman" w:hAnsi="Times New Roman" w:cs="Times New Roman"/>
          <w:b/>
          <w:lang w:eastAsia="ru-RU"/>
        </w:rPr>
        <w:t>1</w:t>
      </w:r>
      <w:r w:rsidRPr="00A576B8">
        <w:rPr>
          <w:rFonts w:ascii="Times New Roman" w:eastAsia="Times New Roman" w:hAnsi="Times New Roman" w:cs="Times New Roman"/>
          <w:b/>
          <w:lang w:val="uk-UA" w:eastAsia="ru-RU"/>
        </w:rPr>
        <w:t>: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Питання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передачає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з’ясування історії виникнення жанру давньої аттичної комедії, ритуальних форм, які дали початок жанру. Зокрема, культу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Діоніса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фалічних культів,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елевсінських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містерій. В структурі комедії слід виділяти і пояснювати функції складових частин –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парод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ексод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епісоій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агон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парабаса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епірема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антиепірема</w:t>
      </w:r>
      <w:proofErr w:type="spellEnd"/>
      <w:r w:rsidRPr="00A576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Фабули комедій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«Хмари», «Жаби». Умовно-фантастичні та реалістичні елементи сюжету.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>Рекомендації до підготовки відповіді на питання 2: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передбачає розгляд сюжетів комедій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акцентуванням реалістичних елементів, тих, що відображають сучасні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Арістофану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реалії побуту, суспільного життя, філософії та ін., а також елементів фантастики. 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Характер пародіювання філософських та педагогічних ідей часу в комедії «Хмари». Специфіка комедійної композиції.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Рекомендації до підготовки відповіді на питання </w:t>
      </w:r>
      <w:r w:rsidRPr="00A576B8">
        <w:rPr>
          <w:rFonts w:ascii="Times New Roman" w:eastAsia="Times New Roman" w:hAnsi="Times New Roman" w:cs="Times New Roman"/>
          <w:b/>
          <w:lang w:eastAsia="ru-RU"/>
        </w:rPr>
        <w:t>3</w:t>
      </w:r>
      <w:r w:rsidRPr="00A576B8">
        <w:rPr>
          <w:rFonts w:ascii="Times New Roman" w:eastAsia="Times New Roman" w:hAnsi="Times New Roman" w:cs="Times New Roman"/>
          <w:b/>
          <w:lang w:val="uk-UA" w:eastAsia="ru-RU"/>
        </w:rPr>
        <w:t>: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Відповідь має містити аналіз тих епізодів і сцен комедії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«Хмари», в яких пародіюються актуальні для часів автора філософські і педагогічні ідеї Сократа і його послідовників. 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76B8" w:rsidRPr="00A576B8" w:rsidRDefault="00A576B8" w:rsidP="00A576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арістофанівського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гумору. Фарс і травестія як прийоми створення комічного ефекту. Поняття фалічного гумору.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Бурлескно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-фарсове зображення міфологічних персонажів в комедії «Жаби»</w:t>
      </w:r>
    </w:p>
    <w:p w:rsidR="00A576B8" w:rsidRPr="00A576B8" w:rsidRDefault="00A576B8" w:rsidP="00A576B8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576B8">
        <w:rPr>
          <w:rFonts w:ascii="Times New Roman" w:eastAsia="Times New Roman" w:hAnsi="Times New Roman" w:cs="Times New Roman"/>
          <w:b/>
          <w:lang w:val="uk-UA" w:eastAsia="ru-RU"/>
        </w:rPr>
        <w:t xml:space="preserve">Рекомендації до підготовки відповіді на питання </w:t>
      </w:r>
      <w:r w:rsidRPr="00A576B8">
        <w:rPr>
          <w:rFonts w:ascii="Times New Roman" w:eastAsia="Times New Roman" w:hAnsi="Times New Roman" w:cs="Times New Roman"/>
          <w:b/>
          <w:lang w:eastAsia="ru-RU"/>
        </w:rPr>
        <w:t>4</w:t>
      </w:r>
      <w:r w:rsidRPr="00A576B8">
        <w:rPr>
          <w:rFonts w:ascii="Times New Roman" w:eastAsia="Times New Roman" w:hAnsi="Times New Roman" w:cs="Times New Roman"/>
          <w:b/>
          <w:lang w:val="uk-UA" w:eastAsia="ru-RU"/>
        </w:rPr>
        <w:t>:</w:t>
      </w:r>
    </w:p>
    <w:p w:rsidR="00A576B8" w:rsidRPr="00A576B8" w:rsidRDefault="00A576B8" w:rsidP="00A576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Відповідь має містити приклади різних засобів комічного в комедіях </w:t>
      </w:r>
    </w:p>
    <w:p w:rsidR="00A576B8" w:rsidRPr="00A576B8" w:rsidRDefault="00A576B8" w:rsidP="00A576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фарс, травестія, сатира.</w:t>
      </w:r>
    </w:p>
    <w:p w:rsidR="00A576B8" w:rsidRPr="00A576B8" w:rsidRDefault="00A576B8" w:rsidP="00A576B8">
      <w:pPr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22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поняття: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комедія, Діонісії, фалічні пісні, фарс, травестія,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комос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корифей, пролог,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парод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ода,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антода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епісодій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парабаса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агон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епірема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антиепірема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ексод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антропоцентризм.</w:t>
      </w:r>
    </w:p>
    <w:p w:rsidR="00A576B8" w:rsidRPr="00A576B8" w:rsidRDefault="00A576B8" w:rsidP="00A576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670560" cy="670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Завдання:</w:t>
      </w:r>
    </w:p>
    <w:p w:rsidR="00A576B8" w:rsidRPr="00A576B8" w:rsidRDefault="00A576B8" w:rsidP="00A576B8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  комедії </w:t>
      </w:r>
      <w:proofErr w:type="spellStart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Арістофана</w:t>
      </w:r>
      <w:proofErr w:type="spellEnd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«Хмари» проаналізуйте партії хору. Зробіть висновок, яким є їх сюжетне і ідейне значення.</w:t>
      </w:r>
    </w:p>
    <w:p w:rsidR="00A576B8" w:rsidRPr="00A576B8" w:rsidRDefault="00A576B8" w:rsidP="00A576B8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Використовуючи тексти обох комедій, </w:t>
      </w:r>
      <w:proofErr w:type="spellStart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дослідіть</w:t>
      </w:r>
      <w:proofErr w:type="spellEnd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стилістичні засоби, якими користується </w:t>
      </w:r>
      <w:proofErr w:type="spellStart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Арістофан</w:t>
      </w:r>
      <w:proofErr w:type="spellEnd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для досягнення комічного ефекту. Проілюструйте прикладами.</w:t>
      </w:r>
    </w:p>
    <w:p w:rsidR="00A576B8" w:rsidRPr="00A576B8" w:rsidRDefault="00A576B8" w:rsidP="00A57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Література: </w:t>
      </w:r>
    </w:p>
    <w:p w:rsidR="00A576B8" w:rsidRPr="00A576B8" w:rsidRDefault="00A576B8" w:rsidP="00A576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Основна:</w:t>
      </w:r>
    </w:p>
    <w:p w:rsidR="00A576B8" w:rsidRPr="00A576B8" w:rsidRDefault="00A576B8" w:rsidP="00A576B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Пащенко В.І., Пащенко Н.І. Антична література. Київ : Либідь, 2004. 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"http://194.44.152.155/elib/local/sk644465.pdf" </w:instrTex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A576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  <w:t>http://194.44.152.155/elib/local/sk644465.pdf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</w:p>
    <w:p w:rsidR="00A576B8" w:rsidRPr="00A576B8" w:rsidRDefault="00A576B8" w:rsidP="00A576B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Шалагінов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Б.Б. </w:t>
      </w:r>
      <w:r w:rsidRPr="00A576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Зарубіжна література : від античності до початку </w:t>
      </w:r>
      <w:r w:rsidRPr="00A576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XIX</w:t>
      </w:r>
      <w:r w:rsidRPr="00A576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сторіччя : історико-естетичний нарис : навчальний посібник для студентів вищих навчальних закладів. Київ : КМ Академія, 2004.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"http://194.44.152.155/elib/local/sk675371.pdf" </w:instrTex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A576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  <w:t>http://194.44.152.155/elib/local/sk675371.pdf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</w:p>
    <w:p w:rsidR="00A576B8" w:rsidRPr="00A576B8" w:rsidRDefault="00A576B8" w:rsidP="00A576B8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tooltip="Ковбасенко Юрій Іванович" w:history="1">
        <w:proofErr w:type="spellStart"/>
        <w:r w:rsidRPr="00A576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Ковбасенко</w:t>
        </w:r>
        <w:proofErr w:type="spellEnd"/>
        <w:r w:rsidRPr="00A576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Ю. І.</w:t>
        </w:r>
      </w:hyperlink>
      <w:r w:rsidRPr="00A576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Антична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иїв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Київський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Бориса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Грінченка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 248 с.</w:t>
      </w:r>
    </w:p>
    <w:p w:rsidR="00A576B8" w:rsidRPr="00A576B8" w:rsidRDefault="00A576B8" w:rsidP="00A576B8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Мегела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І.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давньогрецької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лекцій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К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иїв</w:t>
      </w:r>
      <w:proofErr w:type="spellEnd"/>
      <w:proofErr w:type="gram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Видавець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Карпенко В. М., 2010.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138 с.</w:t>
      </w:r>
    </w:p>
    <w:p w:rsidR="00A576B8" w:rsidRPr="00A576B8" w:rsidRDefault="00A576B8" w:rsidP="00A576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Додаткова: </w:t>
      </w:r>
    </w:p>
    <w:p w:rsidR="00A576B8" w:rsidRPr="00A576B8" w:rsidRDefault="00A576B8" w:rsidP="00A576B8">
      <w:pPr>
        <w:widowControl w:val="0"/>
        <w:numPr>
          <w:ilvl w:val="0"/>
          <w:numId w:val="2"/>
        </w:numPr>
        <w:tabs>
          <w:tab w:val="num" w:pos="900"/>
        </w:tabs>
        <w:spacing w:after="0" w:line="36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Білецький О.І</w:t>
      </w:r>
      <w:r w:rsidRPr="00A576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Неповторний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Арістофан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hyperlink r:id="rId18" w:history="1">
        <w:r w:rsidRPr="00A576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www.ae-lib.org.ua/texts/biletsky_aristophaner</w:t>
        </w:r>
      </w:hyperlink>
    </w:p>
    <w:p w:rsidR="00A576B8" w:rsidRPr="00A576B8" w:rsidRDefault="00A576B8" w:rsidP="00A576B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23763843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Козлик І. Антична література (Лекційні матеріали у формі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repetitorium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`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: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Івано-Франківськ : Симфонія форте, 2020. 180 с.</w:t>
      </w:r>
    </w:p>
    <w:p w:rsidR="00A576B8" w:rsidRPr="00A576B8" w:rsidRDefault="00A576B8" w:rsidP="00A576B8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Пригодій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С. М. Література давньої Греції :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навч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посіб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Київ : Київський </w:t>
      </w:r>
      <w:proofErr w:type="spellStart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держ</w:t>
      </w:r>
      <w:proofErr w:type="spellEnd"/>
      <w:r w:rsidRPr="00A5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лінгвістичний ун-т, 1999. 132 с.</w:t>
      </w:r>
    </w:p>
    <w:p w:rsidR="00A576B8" w:rsidRPr="00A576B8" w:rsidRDefault="00A576B8" w:rsidP="00A576B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Шалагінов</w:t>
      </w:r>
      <w:proofErr w:type="spellEnd"/>
      <w:r w:rsidRPr="00A576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Б.Б.</w:t>
      </w:r>
      <w:r w:rsidRPr="00A57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Афінська комедія. Всесвітня література та культура в навчальних закладах України. 2004.  № 11.  С. 20-23.</w:t>
      </w:r>
      <w:bookmarkEnd w:id="2"/>
    </w:p>
    <w:p w:rsidR="00EF3655" w:rsidRDefault="00EF3655">
      <w:bookmarkStart w:id="3" w:name="_GoBack"/>
      <w:bookmarkEnd w:id="3"/>
    </w:p>
    <w:sectPr w:rsidR="00EF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49D"/>
    <w:multiLevelType w:val="hybridMultilevel"/>
    <w:tmpl w:val="4D760964"/>
    <w:lvl w:ilvl="0" w:tplc="0096BBB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DB3C2A"/>
    <w:multiLevelType w:val="hybridMultilevel"/>
    <w:tmpl w:val="D4EAA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73873"/>
    <w:multiLevelType w:val="hybridMultilevel"/>
    <w:tmpl w:val="80385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A5C3D"/>
    <w:multiLevelType w:val="hybridMultilevel"/>
    <w:tmpl w:val="C31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5AFC"/>
    <w:multiLevelType w:val="hybridMultilevel"/>
    <w:tmpl w:val="B54A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A76CC"/>
    <w:multiLevelType w:val="hybridMultilevel"/>
    <w:tmpl w:val="85629F6A"/>
    <w:lvl w:ilvl="0" w:tplc="0096BB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2455C0"/>
    <w:multiLevelType w:val="hybridMultilevel"/>
    <w:tmpl w:val="C85AB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30"/>
    <w:rsid w:val="00567730"/>
    <w:rsid w:val="00A576B8"/>
    <w:rsid w:val="00E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y_EvcFqbSTA" TargetMode="External"/><Relationship Id="rId18" Type="http://schemas.openxmlformats.org/officeDocument/2006/relationships/hyperlink" Target="http://www.ae-lib.org.ua/texts/biletsky_aristophane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chtyvo.org.ua/authors/Klekovkin_Oleksandr/Antychnyi_teatr_Navchalnyi_posibnyk_dlia_vyschykh_navchalnykh_zakladiv_mystetstv_i_kultury/" TargetMode="External"/><Relationship Id="rId17" Type="http://schemas.openxmlformats.org/officeDocument/2006/relationships/hyperlink" Target="https://uk.wikipedia.org/wiki/%D0%9A%D0%BE%D0%B2%D0%B1%D0%B0%D1%81%D0%B5%D0%BD%D0%BA%D0%BE_%D0%AE%D1%80%D1%96%D0%B9_%D0%86%D0%B2%D0%B0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A%D0%BE%D0%B2%D0%B1%D0%B0%D1%81%D0%B5%D0%BD%D0%BA%D0%BE_%D0%AE%D1%80%D1%96%D0%B9_%D0%86%D0%B2%D0%B0%D0%BD%D0%BE%D0%B2%D0%B8%D1%87" TargetMode="External"/><Relationship Id="rId10" Type="http://schemas.openxmlformats.org/officeDocument/2006/relationships/hyperlink" Target="https://www.youtube.com/watch?v=-1BYVaz-1p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ae-lib.org.ua/texts/sodomora__euripidus__u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8465</Characters>
  <Application>Microsoft Office Word</Application>
  <DocSecurity>0</DocSecurity>
  <Lines>70</Lines>
  <Paragraphs>19</Paragraphs>
  <ScaleCrop>false</ScaleCrop>
  <Company>HP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2025-08-30T15:57:00Z</dcterms:created>
  <dcterms:modified xsi:type="dcterms:W3CDTF">2025-08-30T15:57:00Z</dcterms:modified>
</cp:coreProperties>
</file>