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69" w:rsidRPr="008B2969" w:rsidRDefault="008B2969" w:rsidP="008B2969">
      <w:pPr>
        <w:widowControl w:val="0"/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ПИТАНЬ ДО ПІДСУМКОВОГО КОНТРОЛЮ</w:t>
      </w:r>
    </w:p>
    <w:p w:rsidR="008B2969" w:rsidRPr="008B2969" w:rsidRDefault="008B2969" w:rsidP="008B2969">
      <w:pPr>
        <w:widowControl w:val="0"/>
        <w:spacing w:line="360" w:lineRule="auto"/>
        <w:jc w:val="both"/>
        <w:rPr>
          <w:b/>
          <w:sz w:val="20"/>
          <w:szCs w:val="28"/>
        </w:rPr>
      </w:pPr>
    </w:p>
    <w:p w:rsidR="008B2969" w:rsidRPr="008B2969" w:rsidRDefault="008B2969" w:rsidP="008B2969">
      <w:pPr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8B2969">
        <w:rPr>
          <w:sz w:val="28"/>
          <w:szCs w:val="28"/>
        </w:rPr>
        <w:t>Поняття</w:t>
      </w:r>
      <w:proofErr w:type="spellEnd"/>
      <w:r w:rsidRPr="008B2969">
        <w:rPr>
          <w:sz w:val="28"/>
          <w:szCs w:val="28"/>
        </w:rPr>
        <w:t xml:space="preserve"> про «</w:t>
      </w:r>
      <w:proofErr w:type="spellStart"/>
      <w:r w:rsidRPr="008B2969">
        <w:rPr>
          <w:sz w:val="28"/>
          <w:szCs w:val="28"/>
        </w:rPr>
        <w:t>античність</w:t>
      </w:r>
      <w:proofErr w:type="spellEnd"/>
      <w:r w:rsidRPr="008B2969">
        <w:rPr>
          <w:sz w:val="28"/>
          <w:szCs w:val="28"/>
        </w:rPr>
        <w:t>»</w:t>
      </w:r>
      <w:r w:rsidRPr="008B2969">
        <w:rPr>
          <w:sz w:val="28"/>
          <w:szCs w:val="28"/>
          <w:lang w:val="uk-UA"/>
        </w:rPr>
        <w:t>: хронологія, географія, періодизація.</w:t>
      </w:r>
    </w:p>
    <w:p w:rsidR="008B2969" w:rsidRPr="008B2969" w:rsidRDefault="008B2969" w:rsidP="008B2969">
      <w:pPr>
        <w:widowControl w:val="0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proofErr w:type="spellStart"/>
      <w:r w:rsidRPr="008B2969">
        <w:rPr>
          <w:sz w:val="28"/>
          <w:szCs w:val="28"/>
        </w:rPr>
        <w:t>Естетична</w:t>
      </w:r>
      <w:proofErr w:type="spellEnd"/>
      <w:r w:rsidRPr="008B2969">
        <w:rPr>
          <w:sz w:val="28"/>
          <w:szCs w:val="28"/>
        </w:rPr>
        <w:t xml:space="preserve"> </w:t>
      </w:r>
      <w:proofErr w:type="spellStart"/>
      <w:r w:rsidRPr="008B2969">
        <w:rPr>
          <w:sz w:val="28"/>
          <w:szCs w:val="28"/>
        </w:rPr>
        <w:t>неповторність</w:t>
      </w:r>
      <w:proofErr w:type="spellEnd"/>
      <w:r w:rsidRPr="008B2969">
        <w:rPr>
          <w:sz w:val="28"/>
          <w:szCs w:val="28"/>
        </w:rPr>
        <w:t xml:space="preserve"> </w:t>
      </w:r>
      <w:proofErr w:type="spellStart"/>
      <w:r w:rsidRPr="008B2969">
        <w:rPr>
          <w:sz w:val="28"/>
          <w:szCs w:val="28"/>
        </w:rPr>
        <w:t>античної</w:t>
      </w:r>
      <w:proofErr w:type="spellEnd"/>
      <w:r w:rsidRPr="008B2969">
        <w:rPr>
          <w:sz w:val="28"/>
          <w:szCs w:val="28"/>
        </w:rPr>
        <w:t xml:space="preserve"> </w:t>
      </w:r>
      <w:proofErr w:type="spellStart"/>
      <w:proofErr w:type="gramStart"/>
      <w:r w:rsidRPr="008B2969">
        <w:rPr>
          <w:sz w:val="28"/>
          <w:szCs w:val="28"/>
        </w:rPr>
        <w:t>л</w:t>
      </w:r>
      <w:proofErr w:type="gramEnd"/>
      <w:r w:rsidRPr="008B2969">
        <w:rPr>
          <w:sz w:val="28"/>
          <w:szCs w:val="28"/>
        </w:rPr>
        <w:t>ітератури</w:t>
      </w:r>
      <w:proofErr w:type="spellEnd"/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Періодизація античної літератури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Духовні цінності античної літератури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Поняття про міф. Процес творення міфу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Міф як універсально-чуттєва дійсність. Синкретизм міфу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Періоди розвитку давньогрецької міфології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8B2969">
        <w:rPr>
          <w:sz w:val="28"/>
          <w:szCs w:val="28"/>
          <w:lang w:val="uk-UA"/>
        </w:rPr>
        <w:t>Доолімпійська</w:t>
      </w:r>
      <w:proofErr w:type="spellEnd"/>
      <w:r w:rsidRPr="008B2969">
        <w:rPr>
          <w:sz w:val="28"/>
          <w:szCs w:val="28"/>
          <w:lang w:val="uk-UA"/>
        </w:rPr>
        <w:t xml:space="preserve"> міфологія 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Класична міфологія як етап еволюції міфологічного мислення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Міфи про подвиги Геракла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Міфи про подвиги </w:t>
      </w:r>
      <w:proofErr w:type="spellStart"/>
      <w:r w:rsidRPr="008B2969">
        <w:rPr>
          <w:sz w:val="28"/>
          <w:szCs w:val="28"/>
          <w:lang w:val="uk-UA"/>
        </w:rPr>
        <w:t>Тесея</w:t>
      </w:r>
      <w:proofErr w:type="spellEnd"/>
      <w:r w:rsidRPr="008B2969">
        <w:rPr>
          <w:sz w:val="28"/>
          <w:szCs w:val="28"/>
          <w:lang w:val="uk-UA"/>
        </w:rPr>
        <w:t xml:space="preserve"> 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Міфи про подвиги Персея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Міф про </w:t>
      </w:r>
      <w:proofErr w:type="spellStart"/>
      <w:r w:rsidRPr="008B2969">
        <w:rPr>
          <w:sz w:val="28"/>
          <w:szCs w:val="28"/>
          <w:lang w:val="uk-UA"/>
        </w:rPr>
        <w:t>Діоніса</w:t>
      </w:r>
      <w:proofErr w:type="spellEnd"/>
      <w:r w:rsidRPr="008B2969">
        <w:rPr>
          <w:sz w:val="28"/>
          <w:szCs w:val="28"/>
          <w:lang w:val="uk-UA"/>
        </w:rPr>
        <w:t>. Його значення для античної літератури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Героїчні міфи: походження, сюжети, типи героїзму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Матеріально-чуттєвий </w:t>
      </w:r>
      <w:proofErr w:type="spellStart"/>
      <w:r w:rsidRPr="008B2969">
        <w:rPr>
          <w:sz w:val="28"/>
          <w:szCs w:val="28"/>
          <w:lang w:val="uk-UA"/>
        </w:rPr>
        <w:t>космологізм</w:t>
      </w:r>
      <w:proofErr w:type="spellEnd"/>
      <w:r w:rsidRPr="008B2969">
        <w:rPr>
          <w:sz w:val="28"/>
          <w:szCs w:val="28"/>
        </w:rPr>
        <w:t xml:space="preserve"> </w:t>
      </w:r>
      <w:r w:rsidRPr="008B2969">
        <w:rPr>
          <w:sz w:val="28"/>
          <w:szCs w:val="28"/>
          <w:lang w:val="uk-UA"/>
        </w:rPr>
        <w:t>як характеристика світогляду античності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Поняття про героїчний епос: виникнення, розвиток, функціонування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Виникнення героїчного епосу Давньої Греції. </w:t>
      </w:r>
      <w:proofErr w:type="spellStart"/>
      <w:r w:rsidRPr="008B2969">
        <w:rPr>
          <w:sz w:val="28"/>
          <w:szCs w:val="28"/>
          <w:lang w:val="uk-UA"/>
        </w:rPr>
        <w:t>Аеди</w:t>
      </w:r>
      <w:proofErr w:type="spellEnd"/>
      <w:r w:rsidRPr="008B2969">
        <w:rPr>
          <w:sz w:val="28"/>
          <w:szCs w:val="28"/>
          <w:lang w:val="uk-UA"/>
        </w:rPr>
        <w:t>. Рапсоди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Троянський  цикл міфів як  сюжетна основа поеми Гомера «Іліада»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Поема Гомера «Іліада» в контексті ідеології родового світу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«Іліада» Гомера: сюжет, головні герої, характер зображення богів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Стильові особливості поем Гомера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color w:val="000000"/>
          <w:sz w:val="28"/>
          <w:szCs w:val="28"/>
          <w:lang w:val="uk-UA"/>
        </w:rPr>
        <w:t>Гомерівське питання: сутність, історія, сучасний стан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Походження давньогрецької лірики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Лірика </w:t>
      </w:r>
      <w:proofErr w:type="spellStart"/>
      <w:r w:rsidRPr="008B2969">
        <w:rPr>
          <w:sz w:val="28"/>
          <w:szCs w:val="28"/>
          <w:lang w:val="uk-UA"/>
        </w:rPr>
        <w:t>Сафо</w:t>
      </w:r>
      <w:proofErr w:type="spellEnd"/>
      <w:r w:rsidRPr="008B2969">
        <w:rPr>
          <w:sz w:val="28"/>
          <w:szCs w:val="28"/>
          <w:lang w:val="uk-UA"/>
        </w:rPr>
        <w:t>: жанри, образи, стиль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Лірика </w:t>
      </w:r>
      <w:proofErr w:type="spellStart"/>
      <w:r w:rsidRPr="008B2969">
        <w:rPr>
          <w:sz w:val="28"/>
          <w:szCs w:val="28"/>
          <w:lang w:val="uk-UA"/>
        </w:rPr>
        <w:t>Архілоха</w:t>
      </w:r>
      <w:proofErr w:type="spellEnd"/>
      <w:r w:rsidRPr="008B2969">
        <w:rPr>
          <w:sz w:val="28"/>
          <w:szCs w:val="28"/>
          <w:lang w:val="uk-UA"/>
        </w:rPr>
        <w:t>: жанри, характер ліричного героя, мотиви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Лірика </w:t>
      </w:r>
      <w:proofErr w:type="spellStart"/>
      <w:r w:rsidRPr="008B2969">
        <w:rPr>
          <w:sz w:val="28"/>
          <w:szCs w:val="28"/>
          <w:lang w:val="uk-UA"/>
        </w:rPr>
        <w:t>Алкея</w:t>
      </w:r>
      <w:proofErr w:type="spellEnd"/>
      <w:r w:rsidRPr="008B2969">
        <w:rPr>
          <w:sz w:val="28"/>
          <w:szCs w:val="28"/>
          <w:lang w:val="uk-UA"/>
        </w:rPr>
        <w:t>: жанри, характер ліричного героя, мотиви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Лірика </w:t>
      </w:r>
      <w:proofErr w:type="spellStart"/>
      <w:r w:rsidRPr="008B2969">
        <w:rPr>
          <w:sz w:val="28"/>
          <w:szCs w:val="28"/>
          <w:lang w:val="uk-UA"/>
        </w:rPr>
        <w:t>Анакреонта</w:t>
      </w:r>
      <w:proofErr w:type="spellEnd"/>
      <w:r w:rsidRPr="008B2969">
        <w:rPr>
          <w:sz w:val="28"/>
          <w:szCs w:val="28"/>
          <w:lang w:val="uk-UA"/>
        </w:rPr>
        <w:t>:  провідні мотиви, характер ліричного героя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lastRenderedPageBreak/>
        <w:t>Жанри давньогрецької лірики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Походження давньогрецької трагедії 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Структура давньогрецької трагедії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Есхіл як «батько трагедії»: естетичні особливості драми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8B2969">
        <w:rPr>
          <w:sz w:val="28"/>
          <w:szCs w:val="28"/>
          <w:lang w:val="uk-UA"/>
        </w:rPr>
        <w:t>Сюжетотворче</w:t>
      </w:r>
      <w:proofErr w:type="spellEnd"/>
      <w:r w:rsidRPr="008B2969">
        <w:rPr>
          <w:sz w:val="28"/>
          <w:szCs w:val="28"/>
          <w:lang w:val="uk-UA"/>
        </w:rPr>
        <w:t xml:space="preserve"> значення міфу про </w:t>
      </w:r>
      <w:proofErr w:type="spellStart"/>
      <w:r w:rsidRPr="008B2969">
        <w:rPr>
          <w:sz w:val="28"/>
          <w:szCs w:val="28"/>
          <w:lang w:val="uk-UA"/>
        </w:rPr>
        <w:t>Атридів</w:t>
      </w:r>
      <w:proofErr w:type="spellEnd"/>
      <w:r w:rsidRPr="008B2969">
        <w:rPr>
          <w:sz w:val="28"/>
          <w:szCs w:val="28"/>
          <w:lang w:val="uk-UA"/>
        </w:rPr>
        <w:t xml:space="preserve"> в трилогії Есхіла «</w:t>
      </w:r>
      <w:proofErr w:type="spellStart"/>
      <w:r w:rsidRPr="008B2969">
        <w:rPr>
          <w:sz w:val="28"/>
          <w:szCs w:val="28"/>
          <w:lang w:val="uk-UA"/>
        </w:rPr>
        <w:t>Орестея</w:t>
      </w:r>
      <w:proofErr w:type="spellEnd"/>
      <w:r w:rsidRPr="008B2969">
        <w:rPr>
          <w:sz w:val="28"/>
          <w:szCs w:val="28"/>
          <w:lang w:val="uk-UA"/>
        </w:rPr>
        <w:t>»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Ідейний зміст трилогії Есхіла «</w:t>
      </w:r>
      <w:proofErr w:type="spellStart"/>
      <w:r w:rsidRPr="008B2969">
        <w:rPr>
          <w:sz w:val="28"/>
          <w:szCs w:val="28"/>
          <w:lang w:val="uk-UA"/>
        </w:rPr>
        <w:t>Орестея</w:t>
      </w:r>
      <w:proofErr w:type="spellEnd"/>
      <w:r w:rsidRPr="008B2969">
        <w:rPr>
          <w:sz w:val="28"/>
          <w:szCs w:val="28"/>
          <w:lang w:val="uk-UA"/>
        </w:rPr>
        <w:t>»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Художні новаторства драматургії Софокла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Співвідношення родової і суспільної моралі в сюжеті трилогії Есхіла «</w:t>
      </w:r>
      <w:proofErr w:type="spellStart"/>
      <w:r w:rsidRPr="008B2969">
        <w:rPr>
          <w:sz w:val="28"/>
          <w:szCs w:val="28"/>
          <w:lang w:val="uk-UA"/>
        </w:rPr>
        <w:t>Орестея</w:t>
      </w:r>
      <w:proofErr w:type="spellEnd"/>
      <w:r w:rsidRPr="008B2969">
        <w:rPr>
          <w:sz w:val="28"/>
          <w:szCs w:val="28"/>
          <w:lang w:val="uk-UA"/>
        </w:rPr>
        <w:t xml:space="preserve">» 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Значення архаїчних ритуальних моделей в трилогії Есхіла «</w:t>
      </w:r>
      <w:proofErr w:type="spellStart"/>
      <w:r w:rsidRPr="008B2969">
        <w:rPr>
          <w:sz w:val="28"/>
          <w:szCs w:val="28"/>
          <w:lang w:val="uk-UA"/>
        </w:rPr>
        <w:t>Орестея</w:t>
      </w:r>
      <w:proofErr w:type="spellEnd"/>
      <w:r w:rsidRPr="008B2969">
        <w:rPr>
          <w:sz w:val="28"/>
          <w:szCs w:val="28"/>
          <w:lang w:val="uk-UA"/>
        </w:rPr>
        <w:t>»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Функції хору в трилогії Есхіла «</w:t>
      </w:r>
      <w:proofErr w:type="spellStart"/>
      <w:r w:rsidRPr="008B2969">
        <w:rPr>
          <w:sz w:val="28"/>
          <w:szCs w:val="28"/>
          <w:lang w:val="uk-UA"/>
        </w:rPr>
        <w:t>Орестея</w:t>
      </w:r>
      <w:proofErr w:type="spellEnd"/>
      <w:r w:rsidRPr="008B2969">
        <w:rPr>
          <w:sz w:val="28"/>
          <w:szCs w:val="28"/>
          <w:lang w:val="uk-UA"/>
        </w:rPr>
        <w:t>»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proofErr w:type="spellStart"/>
      <w:r w:rsidRPr="008B2969">
        <w:rPr>
          <w:sz w:val="28"/>
          <w:szCs w:val="28"/>
          <w:lang w:val="uk-UA"/>
        </w:rPr>
        <w:t>Філософсько</w:t>
      </w:r>
      <w:proofErr w:type="spellEnd"/>
      <w:r w:rsidRPr="008B2969">
        <w:rPr>
          <w:sz w:val="28"/>
          <w:szCs w:val="28"/>
          <w:lang w:val="uk-UA"/>
        </w:rPr>
        <w:t>-психологічна трагедія Еврипіда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Драми Софокла: проблематика, ідеї, стиль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Драми Есхіла: проблематика, ідеї, стиль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Устрій давньогрецького театру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Походження давньої аттичної комедії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Засоби пародіювання філософських ідей часу в комедії Аристофана «Хмари» 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Структура давньої аттичної комедії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Специфіка вираження авторського світогляду в комедіях Аристофана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 xml:space="preserve">Комедії Аристофана: тематика, композиція, ідейний зміст 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Засоби комічного в комедіях Аристофана «Хмари», «Жаби»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Фарс і травестія в комедіях Аристофана «Хмари», «Жаби»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Періодизація літератури Давнього Риму</w:t>
      </w:r>
    </w:p>
    <w:p w:rsidR="008B2969" w:rsidRPr="008B2969" w:rsidRDefault="008B2969" w:rsidP="008B2969">
      <w:pPr>
        <w:numPr>
          <w:ilvl w:val="0"/>
          <w:numId w:val="4"/>
        </w:num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8B2969">
        <w:rPr>
          <w:sz w:val="28"/>
          <w:szCs w:val="28"/>
          <w:lang w:val="uk-UA"/>
        </w:rPr>
        <w:t>Римська література доби Августа: ідеологічний контекст, представники, основні жанри</w:t>
      </w:r>
    </w:p>
    <w:p w:rsidR="008B2969" w:rsidRDefault="000071DF" w:rsidP="000071DF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«Божественна комедія» Данте: жанр, композиція, головні образи.</w:t>
      </w:r>
    </w:p>
    <w:p w:rsidR="000071DF" w:rsidRDefault="000071DF" w:rsidP="000071DF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Загальна характеристика Середньовіччя.</w:t>
      </w:r>
    </w:p>
    <w:p w:rsidR="000071DF" w:rsidRDefault="000071DF" w:rsidP="000071DF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Куртуазна література. Роман про </w:t>
      </w:r>
      <w:proofErr w:type="spellStart"/>
      <w:r>
        <w:rPr>
          <w:sz w:val="28"/>
          <w:szCs w:val="28"/>
        </w:rPr>
        <w:t>Трістана</w:t>
      </w:r>
      <w:proofErr w:type="spellEnd"/>
      <w:r>
        <w:rPr>
          <w:sz w:val="28"/>
          <w:szCs w:val="28"/>
        </w:rPr>
        <w:t xml:space="preserve"> та Ізольду.</w:t>
      </w:r>
    </w:p>
    <w:p w:rsidR="000071DF" w:rsidRDefault="000071DF" w:rsidP="000071DF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Героїчний епос Середньовіччя.</w:t>
      </w:r>
    </w:p>
    <w:p w:rsidR="000071DF" w:rsidRDefault="000071DF" w:rsidP="000071DF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«Боевульф»: сюжет, основні образи, художня специфіка.</w:t>
      </w:r>
    </w:p>
    <w:p w:rsidR="000071DF" w:rsidRDefault="000071DF" w:rsidP="000071DF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Загальна характеристика англійського Середньовіччя.</w:t>
      </w:r>
    </w:p>
    <w:p w:rsidR="000071DF" w:rsidRDefault="000071DF" w:rsidP="000071DF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71DF">
        <w:rPr>
          <w:sz w:val="28"/>
          <w:szCs w:val="28"/>
        </w:rPr>
        <w:t xml:space="preserve">Загальна характеристика </w:t>
      </w:r>
      <w:r>
        <w:rPr>
          <w:sz w:val="28"/>
          <w:szCs w:val="28"/>
        </w:rPr>
        <w:t>німецького</w:t>
      </w:r>
      <w:r w:rsidRPr="000071DF">
        <w:rPr>
          <w:sz w:val="28"/>
          <w:szCs w:val="28"/>
        </w:rPr>
        <w:t xml:space="preserve"> Середньовіччя</w:t>
      </w:r>
      <w:r>
        <w:rPr>
          <w:sz w:val="28"/>
          <w:szCs w:val="28"/>
        </w:rPr>
        <w:t>.</w:t>
      </w:r>
    </w:p>
    <w:p w:rsidR="000071DF" w:rsidRDefault="000071DF" w:rsidP="000071DF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71DF">
        <w:rPr>
          <w:sz w:val="28"/>
          <w:szCs w:val="28"/>
        </w:rPr>
        <w:t xml:space="preserve">Загальна характеристика </w:t>
      </w:r>
      <w:r>
        <w:rPr>
          <w:sz w:val="28"/>
          <w:szCs w:val="28"/>
        </w:rPr>
        <w:t xml:space="preserve">французького </w:t>
      </w:r>
      <w:r w:rsidRPr="000071DF">
        <w:rPr>
          <w:sz w:val="28"/>
          <w:szCs w:val="28"/>
        </w:rPr>
        <w:t>Середньовіччя</w:t>
      </w:r>
    </w:p>
    <w:p w:rsidR="000071DF" w:rsidRPr="000071DF" w:rsidRDefault="000071DF" w:rsidP="000071DF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Англійський </w:t>
      </w:r>
      <w:proofErr w:type="spellStart"/>
      <w:r>
        <w:rPr>
          <w:sz w:val="28"/>
          <w:szCs w:val="28"/>
        </w:rPr>
        <w:t>проторенесенас</w:t>
      </w:r>
      <w:proofErr w:type="spellEnd"/>
      <w:r>
        <w:rPr>
          <w:sz w:val="28"/>
          <w:szCs w:val="28"/>
        </w:rPr>
        <w:t>. Твори Дж.Чосера.</w:t>
      </w:r>
      <w:bookmarkStart w:id="0" w:name="_GoBack"/>
      <w:bookmarkEnd w:id="0"/>
    </w:p>
    <w:p w:rsidR="008B2969" w:rsidRPr="008B2969" w:rsidRDefault="008B2969" w:rsidP="008B2969">
      <w:pPr>
        <w:jc w:val="both"/>
        <w:rPr>
          <w:sz w:val="28"/>
          <w:szCs w:val="28"/>
          <w:lang w:val="uk-UA"/>
        </w:rPr>
      </w:pPr>
    </w:p>
    <w:p w:rsidR="008B2969" w:rsidRPr="008B2969" w:rsidRDefault="008B2969" w:rsidP="008B2969">
      <w:pPr>
        <w:jc w:val="both"/>
        <w:rPr>
          <w:sz w:val="28"/>
          <w:szCs w:val="28"/>
          <w:lang w:val="uk-UA"/>
        </w:rPr>
      </w:pPr>
    </w:p>
    <w:p w:rsidR="008B2969" w:rsidRPr="008B2969" w:rsidRDefault="008B2969" w:rsidP="008B2969">
      <w:pPr>
        <w:rPr>
          <w:sz w:val="20"/>
          <w:szCs w:val="20"/>
        </w:rPr>
      </w:pPr>
    </w:p>
    <w:p w:rsidR="008616EA" w:rsidRPr="008B2969" w:rsidRDefault="008616EA" w:rsidP="008B2969"/>
    <w:sectPr w:rsidR="008616EA" w:rsidRPr="008B2969" w:rsidSect="009F13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65AFC"/>
    <w:multiLevelType w:val="hybridMultilevel"/>
    <w:tmpl w:val="B54A5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35F60"/>
    <w:multiLevelType w:val="hybridMultilevel"/>
    <w:tmpl w:val="6866A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6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C96217"/>
    <w:multiLevelType w:val="hybridMultilevel"/>
    <w:tmpl w:val="C574935C"/>
    <w:lvl w:ilvl="0" w:tplc="C73E0E30">
      <w:start w:val="1"/>
      <w:numFmt w:val="decimal"/>
      <w:lvlText w:val="%1."/>
      <w:lvlJc w:val="left"/>
      <w:pPr>
        <w:ind w:left="56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uk-UA" w:eastAsia="en-US" w:bidi="ar-SA"/>
      </w:rPr>
    </w:lvl>
    <w:lvl w:ilvl="1" w:tplc="CD945FD4">
      <w:numFmt w:val="bullet"/>
      <w:lvlText w:val="•"/>
      <w:lvlJc w:val="left"/>
      <w:pPr>
        <w:ind w:left="1524" w:hanging="283"/>
      </w:pPr>
      <w:rPr>
        <w:lang w:val="uk-UA" w:eastAsia="en-US" w:bidi="ar-SA"/>
      </w:rPr>
    </w:lvl>
    <w:lvl w:ilvl="2" w:tplc="E5465C08">
      <w:numFmt w:val="bullet"/>
      <w:lvlText w:val="•"/>
      <w:lvlJc w:val="left"/>
      <w:pPr>
        <w:ind w:left="2488" w:hanging="283"/>
      </w:pPr>
      <w:rPr>
        <w:lang w:val="uk-UA" w:eastAsia="en-US" w:bidi="ar-SA"/>
      </w:rPr>
    </w:lvl>
    <w:lvl w:ilvl="3" w:tplc="2BE2E99A">
      <w:numFmt w:val="bullet"/>
      <w:lvlText w:val="•"/>
      <w:lvlJc w:val="left"/>
      <w:pPr>
        <w:ind w:left="3453" w:hanging="283"/>
      </w:pPr>
      <w:rPr>
        <w:lang w:val="uk-UA" w:eastAsia="en-US" w:bidi="ar-SA"/>
      </w:rPr>
    </w:lvl>
    <w:lvl w:ilvl="4" w:tplc="5466448E">
      <w:numFmt w:val="bullet"/>
      <w:lvlText w:val="•"/>
      <w:lvlJc w:val="left"/>
      <w:pPr>
        <w:ind w:left="4417" w:hanging="283"/>
      </w:pPr>
      <w:rPr>
        <w:lang w:val="uk-UA" w:eastAsia="en-US" w:bidi="ar-SA"/>
      </w:rPr>
    </w:lvl>
    <w:lvl w:ilvl="5" w:tplc="5C3E1A8E">
      <w:numFmt w:val="bullet"/>
      <w:lvlText w:val="•"/>
      <w:lvlJc w:val="left"/>
      <w:pPr>
        <w:ind w:left="5382" w:hanging="283"/>
      </w:pPr>
      <w:rPr>
        <w:lang w:val="uk-UA" w:eastAsia="en-US" w:bidi="ar-SA"/>
      </w:rPr>
    </w:lvl>
    <w:lvl w:ilvl="6" w:tplc="39305C70">
      <w:numFmt w:val="bullet"/>
      <w:lvlText w:val="•"/>
      <w:lvlJc w:val="left"/>
      <w:pPr>
        <w:ind w:left="6346" w:hanging="283"/>
      </w:pPr>
      <w:rPr>
        <w:lang w:val="uk-UA" w:eastAsia="en-US" w:bidi="ar-SA"/>
      </w:rPr>
    </w:lvl>
    <w:lvl w:ilvl="7" w:tplc="9B9C4D40">
      <w:numFmt w:val="bullet"/>
      <w:lvlText w:val="•"/>
      <w:lvlJc w:val="left"/>
      <w:pPr>
        <w:ind w:left="7310" w:hanging="283"/>
      </w:pPr>
      <w:rPr>
        <w:lang w:val="uk-UA" w:eastAsia="en-US" w:bidi="ar-SA"/>
      </w:rPr>
    </w:lvl>
    <w:lvl w:ilvl="8" w:tplc="0C92AAC6">
      <w:numFmt w:val="bullet"/>
      <w:lvlText w:val="•"/>
      <w:lvlJc w:val="left"/>
      <w:pPr>
        <w:ind w:left="8275" w:hanging="283"/>
      </w:pPr>
      <w:rPr>
        <w:lang w:val="uk-UA" w:eastAsia="en-US" w:bidi="ar-SA"/>
      </w:rPr>
    </w:lvl>
  </w:abstractNum>
  <w:abstractNum w:abstractNumId="3">
    <w:nsid w:val="49AE59CB"/>
    <w:multiLevelType w:val="hybridMultilevel"/>
    <w:tmpl w:val="089CB44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0F"/>
    <w:rsid w:val="000071DF"/>
    <w:rsid w:val="00265C94"/>
    <w:rsid w:val="00506E0F"/>
    <w:rsid w:val="007B5864"/>
    <w:rsid w:val="008616EA"/>
    <w:rsid w:val="008B2969"/>
    <w:rsid w:val="00CB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421C"/>
    <w:pPr>
      <w:widowControl w:val="0"/>
      <w:autoSpaceDE w:val="0"/>
      <w:autoSpaceDN w:val="0"/>
      <w:ind w:left="282" w:hanging="282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semiHidden/>
    <w:unhideWhenUsed/>
    <w:qFormat/>
    <w:rsid w:val="00CB421C"/>
    <w:pPr>
      <w:widowControl w:val="0"/>
      <w:autoSpaceDE w:val="0"/>
      <w:autoSpaceDN w:val="0"/>
      <w:ind w:left="282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42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CB42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CB421C"/>
    <w:pPr>
      <w:widowControl w:val="0"/>
      <w:autoSpaceDE w:val="0"/>
      <w:autoSpaceDN w:val="0"/>
      <w:ind w:left="282"/>
    </w:pPr>
    <w:rPr>
      <w:lang w:val="uk-UA"/>
    </w:rPr>
  </w:style>
  <w:style w:type="character" w:styleId="a4">
    <w:name w:val="Hyperlink"/>
    <w:basedOn w:val="a0"/>
    <w:unhideWhenUsed/>
    <w:rsid w:val="00CB42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5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8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B421C"/>
    <w:pPr>
      <w:widowControl w:val="0"/>
      <w:autoSpaceDE w:val="0"/>
      <w:autoSpaceDN w:val="0"/>
      <w:ind w:left="282" w:hanging="282"/>
      <w:outlineLvl w:val="0"/>
    </w:pPr>
    <w:rPr>
      <w:b/>
      <w:bCs/>
      <w:sz w:val="28"/>
      <w:szCs w:val="28"/>
      <w:lang w:val="uk-UA"/>
    </w:rPr>
  </w:style>
  <w:style w:type="paragraph" w:styleId="2">
    <w:name w:val="heading 2"/>
    <w:basedOn w:val="a"/>
    <w:link w:val="20"/>
    <w:uiPriority w:val="1"/>
    <w:semiHidden/>
    <w:unhideWhenUsed/>
    <w:qFormat/>
    <w:rsid w:val="00CB421C"/>
    <w:pPr>
      <w:widowControl w:val="0"/>
      <w:autoSpaceDE w:val="0"/>
      <w:autoSpaceDN w:val="0"/>
      <w:ind w:left="282"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421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semiHidden/>
    <w:rsid w:val="00CB421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CB421C"/>
    <w:pPr>
      <w:widowControl w:val="0"/>
      <w:autoSpaceDE w:val="0"/>
      <w:autoSpaceDN w:val="0"/>
      <w:ind w:left="282"/>
    </w:pPr>
    <w:rPr>
      <w:lang w:val="uk-UA"/>
    </w:rPr>
  </w:style>
  <w:style w:type="character" w:styleId="a4">
    <w:name w:val="Hyperlink"/>
    <w:basedOn w:val="a0"/>
    <w:unhideWhenUsed/>
    <w:rsid w:val="00CB42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58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58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2474</Characters>
  <Application>Microsoft Office Word</Application>
  <DocSecurity>0</DocSecurity>
  <Lines>20</Lines>
  <Paragraphs>5</Paragraphs>
  <ScaleCrop>false</ScaleCrop>
  <Company>HP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8</cp:revision>
  <dcterms:created xsi:type="dcterms:W3CDTF">2025-08-31T11:23:00Z</dcterms:created>
  <dcterms:modified xsi:type="dcterms:W3CDTF">2025-08-31T11:59:00Z</dcterms:modified>
</cp:coreProperties>
</file>