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E5C0" w14:textId="47D236E3" w:rsidR="00F8428F" w:rsidRDefault="00DC57F6" w:rsidP="00220B94">
      <w:pPr>
        <w:jc w:val="both"/>
        <w:rPr>
          <w:lang w:val="uk-UA"/>
        </w:rPr>
      </w:pPr>
      <w:r>
        <w:rPr>
          <w:lang w:val="uk-UA"/>
        </w:rPr>
        <w:t>ЛЕКЦІЯ ТЕЗИ Штучний інтелект і переклад</w:t>
      </w:r>
    </w:p>
    <w:p w14:paraId="4D79AAFA" w14:textId="62483C29" w:rsidR="00DC57F6" w:rsidRDefault="00DC57F6" w:rsidP="00220B94">
      <w:pPr>
        <w:jc w:val="both"/>
      </w:pPr>
      <w:r>
        <w:t>Eisenstein  Natural Language Processing Pp. 431-436</w:t>
      </w:r>
    </w:p>
    <w:p w14:paraId="3B57998C" w14:textId="77777777" w:rsidR="0053442E" w:rsidRDefault="0053442E" w:rsidP="00220B94">
      <w:pPr>
        <w:jc w:val="both"/>
      </w:pPr>
      <w:r>
        <w:t xml:space="preserve">     </w:t>
      </w:r>
      <w:r w:rsidR="00DC57F6">
        <w:t xml:space="preserve">Machine translation </w:t>
      </w:r>
    </w:p>
    <w:p w14:paraId="4C3AD942" w14:textId="2F91F61A" w:rsidR="00A22CD8" w:rsidRDefault="0053442E" w:rsidP="00220B94">
      <w:pPr>
        <w:jc w:val="both"/>
      </w:pPr>
      <w:r>
        <w:t xml:space="preserve">     </w:t>
      </w:r>
      <w:r w:rsidR="00D52E76">
        <w:t>“</w:t>
      </w:r>
      <w:r w:rsidR="00DC57F6" w:rsidRPr="008540DA">
        <w:rPr>
          <w:b/>
          <w:bCs/>
        </w:rPr>
        <w:t>Machine translation</w:t>
      </w:r>
      <w:r w:rsidR="00DC57F6">
        <w:t xml:space="preserve"> (MT) is one of the “holy grail” problems in artificial intelligence, with the potential to transform society by facilitating communication between people anywhere in the world. As a result, MT has received significant attention and funding since the early 1950s. However, it has proved remarkably challenging, and while there has been substantial progress towards usable MT systems — especially for high-resource language pairs like English-French — we are still far from translation systems that match the nuance and depth of human translations. </w:t>
      </w:r>
    </w:p>
    <w:p w14:paraId="08F40A6D" w14:textId="77777777" w:rsidR="00A22CD8" w:rsidRDefault="00DC57F6" w:rsidP="00220B94">
      <w:pPr>
        <w:jc w:val="both"/>
      </w:pPr>
      <w:r>
        <w:t xml:space="preserve"> </w:t>
      </w:r>
      <w:r w:rsidRPr="00A22CD8">
        <w:rPr>
          <w:b/>
          <w:bCs/>
        </w:rPr>
        <w:t>Machine translation as a task</w:t>
      </w:r>
      <w:r>
        <w:t xml:space="preserve"> </w:t>
      </w:r>
    </w:p>
    <w:p w14:paraId="4F960D4F" w14:textId="24B4389E" w:rsidR="008540DA" w:rsidRDefault="00A22CD8" w:rsidP="00220B94">
      <w:pPr>
        <w:jc w:val="both"/>
      </w:pPr>
      <w:r>
        <w:t xml:space="preserve">     </w:t>
      </w:r>
      <w:r w:rsidR="00DC57F6">
        <w:t xml:space="preserve">Machine translation can be formulated as an optimization problem: wˆ (t) = argmax w(t) Ψ(w(s) , w(t) ),  where w(s) is a sentence in a source language, w(t) is a sentence in the target language, and Ψ is a scoring function. As usual, this formalism requires two components: a decoding algorithm for computing wˆ (t) , and a learning algorithm for estimating the parameters of the scoring function Ψ. Decoding is difficult for machine translation because of </w:t>
      </w:r>
      <w:r w:rsidR="00DC57F6" w:rsidRPr="008540DA">
        <w:rPr>
          <w:b/>
          <w:bCs/>
        </w:rPr>
        <w:t>the huge space of possible translations.</w:t>
      </w:r>
      <w:r w:rsidR="00DC57F6">
        <w:t xml:space="preserve"> </w:t>
      </w:r>
    </w:p>
    <w:p w14:paraId="408E8DA6" w14:textId="77777777" w:rsidR="008540DA" w:rsidRDefault="008540DA" w:rsidP="00220B94">
      <w:pPr>
        <w:jc w:val="both"/>
      </w:pPr>
      <w:r>
        <w:t xml:space="preserve">     </w:t>
      </w:r>
      <w:r w:rsidR="00DC57F6">
        <w:t xml:space="preserve">In machine translation, no such locality assumptions seem possible: </w:t>
      </w:r>
      <w:r w:rsidR="00DC57F6" w:rsidRPr="008540DA">
        <w:rPr>
          <w:b/>
          <w:bCs/>
        </w:rPr>
        <w:t xml:space="preserve">human translators reword, reorder, and rearrange words; they replace single words with multi-word phrases, and vice versa. This flexibility means that in even relatively simple </w:t>
      </w:r>
      <w:r w:rsidR="00DC57F6">
        <w:t xml:space="preserve">source target text syntax semantics interlingua decoding is NP-hard (Knight, 1999). Approaches for dealing with this complexity are described in </w:t>
      </w:r>
      <w:r>
        <w:t xml:space="preserve"> many monographs. </w:t>
      </w:r>
    </w:p>
    <w:p w14:paraId="3D99EF60" w14:textId="77777777" w:rsidR="008540DA" w:rsidRDefault="008540DA" w:rsidP="00220B94">
      <w:pPr>
        <w:jc w:val="both"/>
      </w:pPr>
      <w:r>
        <w:t xml:space="preserve">     </w:t>
      </w:r>
      <w:r w:rsidR="00DC57F6" w:rsidRPr="008540DA">
        <w:rPr>
          <w:b/>
          <w:bCs/>
        </w:rPr>
        <w:t>Estimating translation models</w:t>
      </w:r>
      <w:r w:rsidR="00DC57F6">
        <w:t xml:space="preserve"> is difficult as well. </w:t>
      </w:r>
      <w:r w:rsidR="00DC57F6" w:rsidRPr="008540DA">
        <w:rPr>
          <w:b/>
          <w:bCs/>
        </w:rPr>
        <w:t>Labeled translation data</w:t>
      </w:r>
      <w:r w:rsidR="00DC57F6">
        <w:t xml:space="preserve"> usually comes in the form parallel sentences, e.g., w(s) =A Vinay le gusta las manzanas. w(t) =Vinay likes apples. A useful feature function would note the translation pairs (gusta, likes), (manzanas, apples), and even (Vinay, Vinay). But this word-to-word alignment is not given in the data. One solution is to treat this alignment as a latent variable; this is the approach taken by classical </w:t>
      </w:r>
      <w:r w:rsidR="00DC57F6" w:rsidRPr="008540DA">
        <w:rPr>
          <w:b/>
          <w:bCs/>
        </w:rPr>
        <w:t>statistical machine translation</w:t>
      </w:r>
      <w:r w:rsidR="00DC57F6">
        <w:t xml:space="preserve"> (SMT) systems</w:t>
      </w:r>
      <w:r>
        <w:t>.</w:t>
      </w:r>
      <w:r w:rsidR="00DC57F6">
        <w:t xml:space="preserve"> </w:t>
      </w:r>
    </w:p>
    <w:p w14:paraId="63B60D80" w14:textId="77777777" w:rsidR="00220B94" w:rsidRDefault="008540DA" w:rsidP="00220B94">
      <w:pPr>
        <w:jc w:val="both"/>
      </w:pPr>
      <w:r>
        <w:t xml:space="preserve">     </w:t>
      </w:r>
      <w:r w:rsidR="00DC57F6">
        <w:t xml:space="preserve">Another solution is to model the relationship between w(t) and w(s) through a more complex and expressive function; this is the approach taken by </w:t>
      </w:r>
      <w:r w:rsidR="00DC57F6" w:rsidRPr="008540DA">
        <w:rPr>
          <w:b/>
          <w:bCs/>
        </w:rPr>
        <w:t xml:space="preserve">neural machine translation (NMT) systems, </w:t>
      </w:r>
      <w:r w:rsidR="00DC57F6">
        <w:t xml:space="preserve">The </w:t>
      </w:r>
      <w:r w:rsidR="00DC57F6" w:rsidRPr="008540DA">
        <w:rPr>
          <w:b/>
          <w:bCs/>
        </w:rPr>
        <w:t>Vauquois Pyramid is a theory</w:t>
      </w:r>
      <w:r w:rsidR="00DC57F6">
        <w:t xml:space="preserve"> of how translation should be done. At the lowest level, the translation system operates </w:t>
      </w:r>
      <w:r w:rsidR="00DC57F6" w:rsidRPr="008540DA">
        <w:rPr>
          <w:b/>
          <w:bCs/>
        </w:rPr>
        <w:t>on individual words</w:t>
      </w:r>
      <w:r w:rsidR="00DC57F6">
        <w:t xml:space="preserve">, but the horizontal distance at this level is large, because </w:t>
      </w:r>
      <w:r w:rsidR="00DC57F6" w:rsidRPr="008540DA">
        <w:rPr>
          <w:b/>
          <w:bCs/>
        </w:rPr>
        <w:t>languages express ideas differently</w:t>
      </w:r>
      <w:r w:rsidR="00DC57F6">
        <w:t xml:space="preserve">. If we can move up the triangle to syntactic structure, the distance for translation is reduced; we then need only produce target-language text from the syntactic representation, which can be as simple as reading off a tree. Further up the triangle lies semantics; translating between semantic representations should be easier still, </w:t>
      </w:r>
      <w:r w:rsidR="00DC57F6" w:rsidRPr="008540DA">
        <w:rPr>
          <w:b/>
          <w:bCs/>
        </w:rPr>
        <w:t>but mapping between semantics and surface text is a difficult, unsolved problem</w:t>
      </w:r>
      <w:r w:rsidR="00DC57F6">
        <w:t xml:space="preserve">. At the top of the triangle is interlingua, </w:t>
      </w:r>
      <w:r w:rsidR="00DC57F6" w:rsidRPr="008540DA">
        <w:rPr>
          <w:b/>
          <w:bCs/>
        </w:rPr>
        <w:t>a semantic representation that is so generic that it is identical across all human languages.</w:t>
      </w:r>
      <w:r w:rsidR="00DC57F6">
        <w:t xml:space="preserve"> </w:t>
      </w:r>
      <w:r w:rsidR="00DC57F6" w:rsidRPr="008540DA">
        <w:rPr>
          <w:b/>
          <w:bCs/>
        </w:rPr>
        <w:t>Philosophers debate whether such a thing as interlingua is really possible</w:t>
      </w:r>
      <w:r w:rsidR="00DC57F6">
        <w:t xml:space="preserve"> (e.g., Derrida, 1985). While </w:t>
      </w:r>
      <w:r w:rsidR="00DC57F6" w:rsidRPr="008540DA">
        <w:rPr>
          <w:b/>
          <w:bCs/>
        </w:rPr>
        <w:t>the first-order logic</w:t>
      </w:r>
      <w:r w:rsidR="00DC57F6">
        <w:t xml:space="preserve"> representations might be thought to be language independent, they are built on an </w:t>
      </w:r>
      <w:r w:rsidR="00DC57F6" w:rsidRPr="008540DA">
        <w:rPr>
          <w:b/>
          <w:bCs/>
        </w:rPr>
        <w:t>inventory of predicates that are suspiciously similar to English words</w:t>
      </w:r>
      <w:r w:rsidR="00DC57F6">
        <w:t xml:space="preserve"> (Nirenburg and Wilks, 2001). </w:t>
      </w:r>
    </w:p>
    <w:p w14:paraId="2B830E56" w14:textId="77777777" w:rsidR="00220B94" w:rsidRDefault="00220B94" w:rsidP="00220B94">
      <w:pPr>
        <w:jc w:val="both"/>
      </w:pPr>
      <w:r>
        <w:t xml:space="preserve">     </w:t>
      </w:r>
      <w:r w:rsidR="00DC57F6" w:rsidRPr="00220B94">
        <w:rPr>
          <w:b/>
          <w:bCs/>
        </w:rPr>
        <w:t>Evaluating translations</w:t>
      </w:r>
      <w:r w:rsidR="00DC57F6">
        <w:t xml:space="preserve"> There are two main criteria for a translation, </w:t>
      </w:r>
    </w:p>
    <w:p w14:paraId="229F7F35" w14:textId="77777777" w:rsidR="00220B94" w:rsidRDefault="00DC57F6" w:rsidP="00220B94">
      <w:pPr>
        <w:jc w:val="both"/>
      </w:pPr>
      <w:r w:rsidRPr="00220B94">
        <w:rPr>
          <w:b/>
          <w:bCs/>
        </w:rPr>
        <w:lastRenderedPageBreak/>
        <w:t>• Adequacy</w:t>
      </w:r>
      <w:r>
        <w:t xml:space="preserve">: The translation w(t) should adequately reflect the linguistic content of w(s) . For example, if w(s) = A Vinay le gusta Python, the reference translation is w(t) = Vinay likes Python. However, the gloss, or word-for-word translation w(t) = To Vinay it like Python is also considered adequate because it contains all the relevant content. The output w(t) = Vinay debugs memory leaks is not adequate. </w:t>
      </w:r>
    </w:p>
    <w:p w14:paraId="373F9197" w14:textId="0937033D" w:rsidR="00220B94" w:rsidRDefault="00DC57F6" w:rsidP="00220B94">
      <w:pPr>
        <w:jc w:val="both"/>
      </w:pPr>
      <w:r>
        <w:t>•</w:t>
      </w:r>
      <w:r w:rsidRPr="00220B94">
        <w:rPr>
          <w:b/>
          <w:bCs/>
        </w:rPr>
        <w:t xml:space="preserve"> Fluency</w:t>
      </w:r>
      <w:r>
        <w:t>: The translation w(t) should read like fluent text in the target language. By this criterion, the gloss w(t) = To Vinay it like Python will score poorly, and w(t) = Vinay debugs memory leaks will be preferred. Automated evaluations of machine translations typically merge both of these criteria, by comparing the system translation with one or more reference translations, produced by professional human translators</w:t>
      </w:r>
      <w:r w:rsidR="00D52E76">
        <w:t>”</w:t>
      </w:r>
      <w:r>
        <w:t xml:space="preserve">. </w:t>
      </w:r>
      <w:r w:rsidR="00D52E76">
        <w:t>[</w:t>
      </w:r>
      <w:r w:rsidR="00D52E76">
        <w:t>Eisenstein</w:t>
      </w:r>
      <w:r w:rsidR="00D52E76">
        <w:t>.</w:t>
      </w:r>
      <w:r w:rsidR="00D52E76">
        <w:t xml:space="preserve">  Natural Language Processing</w:t>
      </w:r>
      <w:r w:rsidR="00D52E76">
        <w:t>.</w:t>
      </w:r>
      <w:r w:rsidR="00D52E76">
        <w:t xml:space="preserve"> Pp. 431-436</w:t>
      </w:r>
      <w:r w:rsidR="00D52E76">
        <w:t>].</w:t>
      </w:r>
    </w:p>
    <w:p w14:paraId="3AB1F71A" w14:textId="77777777" w:rsidR="00220B94" w:rsidRDefault="00220B94" w:rsidP="00220B94">
      <w:pPr>
        <w:jc w:val="both"/>
      </w:pPr>
    </w:p>
    <w:p w14:paraId="09331887" w14:textId="58617437" w:rsidR="00DC57F6" w:rsidRPr="00DC57F6" w:rsidRDefault="00DC57F6" w:rsidP="00220B94">
      <w:pPr>
        <w:jc w:val="both"/>
      </w:pPr>
    </w:p>
    <w:sectPr w:rsidR="00DC57F6" w:rsidRPr="00DC57F6" w:rsidSect="00F84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F6"/>
    <w:rsid w:val="00220B94"/>
    <w:rsid w:val="002D3137"/>
    <w:rsid w:val="0053442E"/>
    <w:rsid w:val="008540DA"/>
    <w:rsid w:val="00A22CD8"/>
    <w:rsid w:val="00D52E76"/>
    <w:rsid w:val="00DC57F6"/>
    <w:rsid w:val="00F8428F"/>
    <w:rsid w:val="00FE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CEBE"/>
  <w15:chartTrackingRefBased/>
  <w15:docId w15:val="{3C70975E-E78B-402A-A8F0-10D4FD7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cex</dc:creator>
  <cp:keywords/>
  <dc:description/>
  <cp:lastModifiedBy>cex</cp:lastModifiedBy>
  <cp:revision>6</cp:revision>
  <dcterms:created xsi:type="dcterms:W3CDTF">2025-08-31T21:12:00Z</dcterms:created>
  <dcterms:modified xsi:type="dcterms:W3CDTF">2025-08-31T21:36:00Z</dcterms:modified>
</cp:coreProperties>
</file>