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89DC2" w14:textId="6F3CF134" w:rsidR="009A2012" w:rsidRDefault="005B6EB9" w:rsidP="009A2012">
      <w:pPr>
        <w:ind w:left="426" w:firstLine="425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9A2012" w:rsidRPr="009A2012">
        <w:rPr>
          <w:sz w:val="24"/>
          <w:szCs w:val="24"/>
        </w:rPr>
        <w:t>ИТАННЯ</w:t>
      </w:r>
    </w:p>
    <w:p w14:paraId="2598E176" w14:textId="77777777" w:rsidR="00F9798C" w:rsidRPr="009A2012" w:rsidRDefault="009A2012" w:rsidP="009A2012">
      <w:pPr>
        <w:ind w:left="426" w:firstLine="425"/>
        <w:jc w:val="center"/>
        <w:rPr>
          <w:sz w:val="24"/>
          <w:szCs w:val="24"/>
        </w:rPr>
      </w:pPr>
      <w:r w:rsidRPr="009A2012">
        <w:rPr>
          <w:sz w:val="24"/>
          <w:szCs w:val="24"/>
        </w:rPr>
        <w:t xml:space="preserve"> </w:t>
      </w:r>
      <w:r w:rsidRPr="009A2012">
        <w:rPr>
          <w:sz w:val="24"/>
          <w:szCs w:val="24"/>
        </w:rPr>
        <w:t>до</w:t>
      </w:r>
      <w:r w:rsidRPr="009A2012">
        <w:rPr>
          <w:sz w:val="24"/>
          <w:szCs w:val="24"/>
        </w:rPr>
        <w:t xml:space="preserve"> </w:t>
      </w:r>
      <w:r w:rsidRPr="009A2012">
        <w:rPr>
          <w:sz w:val="24"/>
          <w:szCs w:val="24"/>
        </w:rPr>
        <w:t>заліку</w:t>
      </w:r>
    </w:p>
    <w:p w14:paraId="750E385E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Класифікація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прийомів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фінансового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аналізу</w:t>
      </w:r>
    </w:p>
    <w:p w14:paraId="3D955972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Баланс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звіт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фінансові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результати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як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основне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джерело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аналітичної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інформації</w:t>
      </w:r>
    </w:p>
    <w:p w14:paraId="25954873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Аналіз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динаміки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складу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структури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оборотних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коштів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підп</w:t>
      </w:r>
      <w:r>
        <w:rPr>
          <w:color w:val="000000"/>
          <w:spacing w:val="1"/>
          <w:sz w:val="28"/>
          <w:szCs w:val="28"/>
        </w:rPr>
        <w:t>риємства</w:t>
      </w:r>
    </w:p>
    <w:p w14:paraId="6B093C0A" w14:textId="64D58CF4" w:rsidR="009A2012" w:rsidRPr="009D31CE" w:rsidRDefault="009A2012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rPr>
          <w:color w:val="000000"/>
          <w:spacing w:val="-2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Типи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фінансової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стійкості</w:t>
      </w:r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Оцінка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запасу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фінансової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стійкості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</w:t>
      </w:r>
      <w:r>
        <w:rPr>
          <w:color w:val="000000"/>
          <w:sz w:val="28"/>
          <w:szCs w:val="28"/>
        </w:rPr>
        <w:t>.</w:t>
      </w:r>
    </w:p>
    <w:p w14:paraId="1A00CC6B" w14:textId="77777777" w:rsidR="009D31CE" w:rsidRPr="00366E47" w:rsidRDefault="009D31CE" w:rsidP="009D31C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sz w:val="28"/>
          <w:szCs w:val="28"/>
        </w:rPr>
      </w:pPr>
      <w:r w:rsidRPr="00366E47">
        <w:rPr>
          <w:sz w:val="28"/>
          <w:szCs w:val="28"/>
        </w:rPr>
        <w:t>Основні</w:t>
      </w:r>
      <w:r w:rsidRPr="00366E47">
        <w:rPr>
          <w:sz w:val="28"/>
          <w:szCs w:val="28"/>
        </w:rPr>
        <w:t xml:space="preserve"> </w:t>
      </w:r>
      <w:r w:rsidRPr="00366E47">
        <w:rPr>
          <w:sz w:val="28"/>
          <w:szCs w:val="28"/>
        </w:rPr>
        <w:t>джерела</w:t>
      </w:r>
      <w:r w:rsidRPr="00366E47">
        <w:rPr>
          <w:sz w:val="28"/>
          <w:szCs w:val="28"/>
        </w:rPr>
        <w:t xml:space="preserve"> </w:t>
      </w:r>
      <w:r w:rsidRPr="00366E47">
        <w:rPr>
          <w:sz w:val="28"/>
          <w:szCs w:val="28"/>
        </w:rPr>
        <w:t>інформації</w:t>
      </w:r>
      <w:r w:rsidRPr="00366E47">
        <w:rPr>
          <w:sz w:val="28"/>
          <w:szCs w:val="28"/>
        </w:rPr>
        <w:t xml:space="preserve"> </w:t>
      </w:r>
      <w:r w:rsidRPr="00366E47">
        <w:rPr>
          <w:sz w:val="28"/>
          <w:szCs w:val="28"/>
        </w:rPr>
        <w:t>для</w:t>
      </w:r>
      <w:r w:rsidRPr="00366E47">
        <w:rPr>
          <w:sz w:val="28"/>
          <w:szCs w:val="28"/>
        </w:rPr>
        <w:t xml:space="preserve"> </w:t>
      </w:r>
      <w:r w:rsidRPr="00366E47">
        <w:rPr>
          <w:sz w:val="28"/>
          <w:szCs w:val="28"/>
        </w:rPr>
        <w:t>ФА</w:t>
      </w:r>
      <w:r w:rsidRPr="00366E47">
        <w:rPr>
          <w:sz w:val="28"/>
          <w:szCs w:val="28"/>
        </w:rPr>
        <w:t xml:space="preserve">. </w:t>
      </w:r>
      <w:r w:rsidRPr="00366E47">
        <w:rPr>
          <w:sz w:val="28"/>
          <w:szCs w:val="28"/>
        </w:rPr>
        <w:t>Види</w:t>
      </w:r>
      <w:r w:rsidRPr="00366E47">
        <w:rPr>
          <w:sz w:val="28"/>
          <w:szCs w:val="28"/>
        </w:rPr>
        <w:t xml:space="preserve"> </w:t>
      </w:r>
      <w:r w:rsidRPr="00366E47">
        <w:rPr>
          <w:sz w:val="28"/>
          <w:szCs w:val="28"/>
        </w:rPr>
        <w:t>звітності</w:t>
      </w:r>
    </w:p>
    <w:p w14:paraId="6F8D479A" w14:textId="6FDC46E9" w:rsidR="009D31CE" w:rsidRDefault="009D31CE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rPr>
          <w:color w:val="000000"/>
          <w:spacing w:val="-21"/>
          <w:sz w:val="28"/>
          <w:szCs w:val="28"/>
        </w:rPr>
      </w:pPr>
      <w:r w:rsidRPr="000276DF">
        <w:rPr>
          <w:rFonts w:ascii="Times New Roman"/>
          <w:bCs/>
          <w:iCs/>
          <w:sz w:val="28"/>
          <w:szCs w:val="28"/>
        </w:rPr>
        <w:t xml:space="preserve">Аналіз фінансового стану </w:t>
      </w:r>
      <w:r>
        <w:rPr>
          <w:rFonts w:ascii="Times New Roman"/>
          <w:bCs/>
          <w:iCs/>
          <w:sz w:val="28"/>
          <w:szCs w:val="28"/>
        </w:rPr>
        <w:t xml:space="preserve">комерційних </w:t>
      </w:r>
      <w:r w:rsidRPr="000276DF">
        <w:rPr>
          <w:rFonts w:ascii="Times New Roman"/>
          <w:bCs/>
          <w:iCs/>
          <w:sz w:val="28"/>
          <w:szCs w:val="28"/>
        </w:rPr>
        <w:t>банків</w:t>
      </w:r>
    </w:p>
    <w:p w14:paraId="5C514AC9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динаміки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складу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</w:t>
      </w:r>
      <w:r>
        <w:rPr>
          <w:color w:val="000000"/>
          <w:sz w:val="28"/>
          <w:szCs w:val="28"/>
        </w:rPr>
        <w:t>.</w:t>
      </w:r>
    </w:p>
    <w:p w14:paraId="35AEE44D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нематеріальних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ефективності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використання</w:t>
      </w:r>
    </w:p>
    <w:p w14:paraId="11792B4D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Оцінка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ефективності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використання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власного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позичкового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капіталу</w:t>
      </w:r>
    </w:p>
    <w:p w14:paraId="707EEDD4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331" w:lineRule="exact"/>
        <w:ind w:left="1276" w:hanging="42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Оцінка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рентабельності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власного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капіталу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Ефект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фінансового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важеля</w:t>
      </w:r>
    </w:p>
    <w:p w14:paraId="5076DB72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капіталу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Види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фінансування</w:t>
      </w:r>
    </w:p>
    <w:p w14:paraId="7ACD80F2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розміщення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оборотного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капіталу</w:t>
      </w:r>
    </w:p>
    <w:p w14:paraId="38D8D0A1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ефективності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використання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оборотного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капіталу</w:t>
      </w:r>
    </w:p>
    <w:p w14:paraId="70C88F1F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Аналіз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показників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поточної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платоспроможності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ліквідності</w:t>
      </w:r>
    </w:p>
    <w:p w14:paraId="592781E9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грошових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потоків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застосуванням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коефіцієнтів</w:t>
      </w:r>
    </w:p>
    <w:p w14:paraId="5BAFA5FA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Поняття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та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класифікація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грошових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потоків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підприємства</w:t>
      </w:r>
    </w:p>
    <w:p w14:paraId="7C7F5BF5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Оцінка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фінансової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стійкості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підприємства</w:t>
      </w:r>
      <w:r>
        <w:rPr>
          <w:color w:val="000000"/>
          <w:spacing w:val="-1"/>
          <w:sz w:val="28"/>
          <w:szCs w:val="28"/>
        </w:rPr>
        <w:t>.</w:t>
      </w:r>
    </w:p>
    <w:p w14:paraId="3CF7B4AC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позикового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капіталу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підприємства</w:t>
      </w:r>
    </w:p>
    <w:p w14:paraId="05DB0F44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Аналіз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оборотності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дебіторської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заборгованості</w:t>
      </w:r>
      <w:r>
        <w:rPr>
          <w:color w:val="000000"/>
          <w:sz w:val="28"/>
          <w:szCs w:val="28"/>
        </w:rPr>
        <w:t xml:space="preserve">. </w:t>
      </w:r>
    </w:p>
    <w:p w14:paraId="3FE562F1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Аналіз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ділової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активності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підприємства</w:t>
      </w:r>
    </w:p>
    <w:p w14:paraId="5E119D14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0"/>
          <w:sz w:val="28"/>
          <w:szCs w:val="27"/>
        </w:rPr>
      </w:pPr>
      <w:r>
        <w:rPr>
          <w:color w:val="000000"/>
          <w:spacing w:val="5"/>
          <w:sz w:val="28"/>
          <w:szCs w:val="27"/>
        </w:rPr>
        <w:t>Показники</w:t>
      </w:r>
      <w:r>
        <w:rPr>
          <w:color w:val="000000"/>
          <w:spacing w:val="5"/>
          <w:sz w:val="28"/>
          <w:szCs w:val="27"/>
        </w:rPr>
        <w:t xml:space="preserve"> </w:t>
      </w:r>
      <w:r>
        <w:rPr>
          <w:color w:val="000000"/>
          <w:spacing w:val="5"/>
          <w:sz w:val="28"/>
          <w:szCs w:val="27"/>
        </w:rPr>
        <w:t>ефективності</w:t>
      </w:r>
      <w:r>
        <w:rPr>
          <w:color w:val="000000"/>
          <w:spacing w:val="5"/>
          <w:sz w:val="28"/>
          <w:szCs w:val="27"/>
        </w:rPr>
        <w:t xml:space="preserve"> </w:t>
      </w:r>
      <w:r>
        <w:rPr>
          <w:color w:val="000000"/>
          <w:spacing w:val="5"/>
          <w:sz w:val="28"/>
          <w:szCs w:val="27"/>
        </w:rPr>
        <w:t>використання</w:t>
      </w:r>
      <w:r>
        <w:rPr>
          <w:color w:val="000000"/>
          <w:spacing w:val="5"/>
          <w:sz w:val="28"/>
          <w:szCs w:val="27"/>
        </w:rPr>
        <w:t xml:space="preserve"> </w:t>
      </w:r>
      <w:r>
        <w:rPr>
          <w:color w:val="000000"/>
          <w:spacing w:val="5"/>
          <w:sz w:val="28"/>
          <w:szCs w:val="27"/>
        </w:rPr>
        <w:t>капіталу</w:t>
      </w:r>
    </w:p>
    <w:p w14:paraId="64C3E6D3" w14:textId="77777777" w:rsidR="009A2012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Оптимізація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структури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капіталу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підприємства</w:t>
      </w:r>
      <w:r>
        <w:rPr>
          <w:color w:val="000000"/>
          <w:spacing w:val="1"/>
          <w:sz w:val="28"/>
          <w:szCs w:val="28"/>
        </w:rPr>
        <w:t>.</w:t>
      </w:r>
    </w:p>
    <w:p w14:paraId="4A7B0F55" w14:textId="38A4D3E4" w:rsidR="009A2012" w:rsidRPr="009D31CE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Ділова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активність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підприємства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та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її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оцінка</w:t>
      </w:r>
      <w:r>
        <w:rPr>
          <w:color w:val="000000"/>
          <w:spacing w:val="1"/>
          <w:sz w:val="28"/>
          <w:szCs w:val="28"/>
        </w:rPr>
        <w:t>.</w:t>
      </w:r>
    </w:p>
    <w:p w14:paraId="26619903" w14:textId="2291C76D" w:rsidR="009D31CE" w:rsidRPr="009D31CE" w:rsidRDefault="009D31CE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 w:rsidRPr="000276DF">
        <w:rPr>
          <w:rFonts w:ascii="Times New Roman"/>
          <w:bCs/>
          <w:iCs/>
          <w:sz w:val="28"/>
          <w:szCs w:val="28"/>
        </w:rPr>
        <w:t>Аналіз фінансових результатів діяльності банків.</w:t>
      </w:r>
    </w:p>
    <w:p w14:paraId="4D9C629C" w14:textId="037FD57D" w:rsidR="009D31CE" w:rsidRDefault="009D31CE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 w:rsidRPr="004B5604">
        <w:rPr>
          <w:bCs/>
          <w:sz w:val="28"/>
          <w:szCs w:val="28"/>
        </w:rPr>
        <w:t>Особливості</w:t>
      </w:r>
      <w:r w:rsidRPr="004B5604">
        <w:rPr>
          <w:bCs/>
          <w:sz w:val="28"/>
          <w:szCs w:val="28"/>
        </w:rPr>
        <w:t xml:space="preserve"> </w:t>
      </w:r>
      <w:r w:rsidRPr="004B5604">
        <w:rPr>
          <w:bCs/>
          <w:sz w:val="28"/>
          <w:szCs w:val="28"/>
        </w:rPr>
        <w:t>фінансового</w:t>
      </w:r>
      <w:r w:rsidRPr="004B5604">
        <w:rPr>
          <w:bCs/>
          <w:sz w:val="28"/>
          <w:szCs w:val="28"/>
        </w:rPr>
        <w:t xml:space="preserve"> </w:t>
      </w:r>
      <w:r w:rsidRPr="004B5604">
        <w:rPr>
          <w:bCs/>
          <w:sz w:val="28"/>
          <w:szCs w:val="28"/>
        </w:rPr>
        <w:t>аналізу</w:t>
      </w:r>
      <w:r w:rsidRPr="004B5604">
        <w:rPr>
          <w:bCs/>
          <w:sz w:val="28"/>
          <w:szCs w:val="28"/>
        </w:rPr>
        <w:t xml:space="preserve"> </w:t>
      </w:r>
      <w:r w:rsidRPr="004B5604">
        <w:rPr>
          <w:bCs/>
          <w:sz w:val="28"/>
          <w:szCs w:val="28"/>
        </w:rPr>
        <w:t>для</w:t>
      </w:r>
      <w:r w:rsidRPr="004B5604">
        <w:rPr>
          <w:bCs/>
          <w:sz w:val="28"/>
          <w:szCs w:val="28"/>
        </w:rPr>
        <w:t xml:space="preserve"> </w:t>
      </w:r>
      <w:r w:rsidRPr="004B5604">
        <w:rPr>
          <w:bCs/>
          <w:sz w:val="28"/>
          <w:szCs w:val="28"/>
        </w:rPr>
        <w:t>страхової</w:t>
      </w:r>
      <w:r w:rsidRPr="004B5604">
        <w:rPr>
          <w:bCs/>
          <w:sz w:val="28"/>
          <w:szCs w:val="28"/>
        </w:rPr>
        <w:t xml:space="preserve"> </w:t>
      </w:r>
      <w:r w:rsidRPr="004B5604">
        <w:rPr>
          <w:bCs/>
          <w:sz w:val="28"/>
          <w:szCs w:val="28"/>
        </w:rPr>
        <w:t>організації</w:t>
      </w:r>
    </w:p>
    <w:p w14:paraId="6E08122F" w14:textId="78009E41" w:rsidR="009A2012" w:rsidRPr="009D31CE" w:rsidRDefault="009A2012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Прогнозування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показників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фінансової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звітності</w:t>
      </w:r>
      <w:r>
        <w:rPr>
          <w:color w:val="000000"/>
          <w:spacing w:val="1"/>
          <w:sz w:val="28"/>
          <w:szCs w:val="28"/>
        </w:rPr>
        <w:t>.</w:t>
      </w:r>
    </w:p>
    <w:p w14:paraId="4AC422B1" w14:textId="6173BC89" w:rsidR="009D31CE" w:rsidRPr="009D31CE" w:rsidRDefault="009D31CE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 w:rsidRPr="00123D2D">
        <w:rPr>
          <w:sz w:val="28"/>
          <w:szCs w:val="28"/>
        </w:rPr>
        <w:t>Застосування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  <w:lang w:val="en-US"/>
        </w:rPr>
        <w:t>SWOT</w:t>
      </w:r>
      <w:r w:rsidRPr="00123D2D">
        <w:rPr>
          <w:sz w:val="28"/>
          <w:szCs w:val="28"/>
        </w:rPr>
        <w:t>-</w:t>
      </w:r>
      <w:r w:rsidRPr="00123D2D">
        <w:rPr>
          <w:sz w:val="28"/>
          <w:szCs w:val="28"/>
        </w:rPr>
        <w:t>аналізу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при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діагностиці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кризових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явищ</w:t>
      </w:r>
    </w:p>
    <w:p w14:paraId="5A3C7271" w14:textId="7B01EE98" w:rsidR="009D31CE" w:rsidRPr="009D31CE" w:rsidRDefault="009D31CE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 w:rsidRPr="00123D2D">
        <w:rPr>
          <w:sz w:val="28"/>
          <w:szCs w:val="28"/>
        </w:rPr>
        <w:t>Аналіз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ефективності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реальних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інвестицій</w:t>
      </w:r>
    </w:p>
    <w:p w14:paraId="142B2778" w14:textId="5695EFF3" w:rsidR="009D31CE" w:rsidRPr="009D31CE" w:rsidRDefault="009D31CE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 w:rsidRPr="00824C2F">
        <w:rPr>
          <w:sz w:val="28"/>
          <w:szCs w:val="28"/>
        </w:rPr>
        <w:t>Основні</w:t>
      </w:r>
      <w:r w:rsidRPr="00824C2F">
        <w:rPr>
          <w:sz w:val="28"/>
          <w:szCs w:val="28"/>
        </w:rPr>
        <w:t xml:space="preserve"> </w:t>
      </w:r>
      <w:r w:rsidRPr="00824C2F">
        <w:rPr>
          <w:sz w:val="28"/>
          <w:szCs w:val="28"/>
        </w:rPr>
        <w:t>етапи</w:t>
      </w:r>
      <w:r w:rsidRPr="00824C2F">
        <w:rPr>
          <w:sz w:val="28"/>
          <w:szCs w:val="28"/>
        </w:rPr>
        <w:t xml:space="preserve"> </w:t>
      </w:r>
      <w:r w:rsidRPr="00824C2F">
        <w:rPr>
          <w:sz w:val="28"/>
          <w:szCs w:val="28"/>
        </w:rPr>
        <w:t>прогнозування</w:t>
      </w:r>
      <w:r w:rsidRPr="00824C2F">
        <w:rPr>
          <w:sz w:val="28"/>
          <w:szCs w:val="28"/>
        </w:rPr>
        <w:t xml:space="preserve"> </w:t>
      </w:r>
      <w:r w:rsidRPr="00824C2F">
        <w:rPr>
          <w:sz w:val="28"/>
          <w:szCs w:val="28"/>
        </w:rPr>
        <w:t>фінансової</w:t>
      </w:r>
      <w:r w:rsidRPr="00824C2F">
        <w:rPr>
          <w:sz w:val="28"/>
          <w:szCs w:val="28"/>
        </w:rPr>
        <w:t xml:space="preserve"> </w:t>
      </w:r>
      <w:r w:rsidRPr="00824C2F">
        <w:rPr>
          <w:sz w:val="28"/>
          <w:szCs w:val="28"/>
        </w:rPr>
        <w:t>звітності</w:t>
      </w:r>
      <w:bookmarkStart w:id="0" w:name="_GoBack"/>
      <w:bookmarkEnd w:id="0"/>
    </w:p>
    <w:p w14:paraId="4A4EADE5" w14:textId="47721557" w:rsidR="009D31CE" w:rsidRDefault="009D31CE" w:rsidP="009A2012">
      <w:pPr>
        <w:numPr>
          <w:ilvl w:val="0"/>
          <w:numId w:val="1"/>
        </w:numPr>
        <w:shd w:val="clear" w:color="auto" w:fill="FFFFFF"/>
        <w:tabs>
          <w:tab w:val="left" w:pos="427"/>
        </w:tabs>
        <w:spacing w:after="0" w:line="331" w:lineRule="exact"/>
        <w:ind w:left="426" w:firstLine="425"/>
        <w:rPr>
          <w:color w:val="000000"/>
          <w:spacing w:val="-15"/>
          <w:sz w:val="28"/>
          <w:szCs w:val="28"/>
        </w:rPr>
      </w:pPr>
      <w:r w:rsidRPr="00123D2D">
        <w:rPr>
          <w:sz w:val="28"/>
          <w:szCs w:val="28"/>
        </w:rPr>
        <w:t>Основні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методичні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підходи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до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оптимізації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структури</w:t>
      </w:r>
      <w:r w:rsidRPr="00123D2D">
        <w:rPr>
          <w:sz w:val="28"/>
          <w:szCs w:val="28"/>
        </w:rPr>
        <w:t xml:space="preserve"> </w:t>
      </w:r>
      <w:r w:rsidRPr="00123D2D">
        <w:rPr>
          <w:sz w:val="28"/>
          <w:szCs w:val="28"/>
        </w:rPr>
        <w:t>капіталу</w:t>
      </w:r>
    </w:p>
    <w:p w14:paraId="46AE7AE7" w14:textId="77777777" w:rsidR="009A2012" w:rsidRDefault="009A2012" w:rsidP="009A2012">
      <w:pPr>
        <w:ind w:left="426" w:firstLine="425"/>
      </w:pPr>
    </w:p>
    <w:sectPr w:rsidR="009A2012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EAF"/>
    <w:multiLevelType w:val="hybridMultilevel"/>
    <w:tmpl w:val="E9088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04413"/>
    <w:multiLevelType w:val="singleLevel"/>
    <w:tmpl w:val="928C80E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12"/>
    <w:rsid w:val="004A688D"/>
    <w:rsid w:val="005B6EB9"/>
    <w:rsid w:val="00635BB5"/>
    <w:rsid w:val="00745C5A"/>
    <w:rsid w:val="009A2012"/>
    <w:rsid w:val="009D31CE"/>
    <w:rsid w:val="00A66EE8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6EC7"/>
  <w15:chartTrackingRefBased/>
  <w15:docId w15:val="{AF471A2A-710A-428C-914A-CFF96DB3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4</cp:revision>
  <dcterms:created xsi:type="dcterms:W3CDTF">2017-02-05T15:15:00Z</dcterms:created>
  <dcterms:modified xsi:type="dcterms:W3CDTF">2018-10-11T07:16:00Z</dcterms:modified>
</cp:coreProperties>
</file>