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E7995" w14:textId="633F7B1E" w:rsidR="00F12C76" w:rsidRPr="007D7686" w:rsidRDefault="004A34B3" w:rsidP="006C0B77">
      <w:pPr>
        <w:spacing w:after="0"/>
        <w:ind w:firstLine="709"/>
        <w:jc w:val="both"/>
        <w:rPr>
          <w:b/>
          <w:bCs/>
          <w:lang w:val="uk-UA"/>
        </w:rPr>
      </w:pPr>
      <w:r w:rsidRPr="007D7686">
        <w:rPr>
          <w:b/>
          <w:bCs/>
          <w:lang w:val="uk-UA"/>
        </w:rPr>
        <w:t>Тема. Медична грамотність.</w:t>
      </w:r>
    </w:p>
    <w:p w14:paraId="17965C82" w14:textId="141A0A4F" w:rsidR="004A34B3" w:rsidRDefault="004A34B3" w:rsidP="006C0B77">
      <w:pPr>
        <w:spacing w:after="0"/>
        <w:ind w:firstLine="709"/>
        <w:jc w:val="both"/>
        <w:rPr>
          <w:lang w:val="uk-UA"/>
        </w:rPr>
      </w:pPr>
      <w:r>
        <w:rPr>
          <w:lang w:val="uk-UA"/>
        </w:rPr>
        <w:t>План.</w:t>
      </w:r>
    </w:p>
    <w:p w14:paraId="1113B797" w14:textId="0080F15C" w:rsidR="004A34B3" w:rsidRDefault="004A34B3" w:rsidP="006C0B77">
      <w:pPr>
        <w:spacing w:after="0"/>
        <w:ind w:firstLine="709"/>
        <w:jc w:val="both"/>
        <w:rPr>
          <w:lang w:val="uk-UA"/>
        </w:rPr>
      </w:pPr>
      <w:r>
        <w:rPr>
          <w:lang w:val="uk-UA"/>
        </w:rPr>
        <w:t>1. Поняття медичної грамотності.</w:t>
      </w:r>
    </w:p>
    <w:p w14:paraId="46020984" w14:textId="025748F9" w:rsidR="004A34B3" w:rsidRDefault="004A34B3" w:rsidP="006C0B77">
      <w:pPr>
        <w:spacing w:after="0"/>
        <w:ind w:firstLine="709"/>
        <w:jc w:val="both"/>
        <w:rPr>
          <w:lang w:val="uk-UA"/>
        </w:rPr>
      </w:pPr>
      <w:r>
        <w:rPr>
          <w:lang w:val="uk-UA"/>
        </w:rPr>
        <w:t xml:space="preserve">2. Дослідження медичної грамотності. </w:t>
      </w:r>
    </w:p>
    <w:p w14:paraId="6C1629FA" w14:textId="77777777" w:rsidR="004A34B3" w:rsidRDefault="004A34B3" w:rsidP="006C0B77">
      <w:pPr>
        <w:spacing w:after="0"/>
        <w:ind w:firstLine="709"/>
        <w:jc w:val="both"/>
      </w:pPr>
    </w:p>
    <w:p w14:paraId="131956CF" w14:textId="77777777" w:rsidR="007D7686" w:rsidRPr="007D7686" w:rsidRDefault="007D7686" w:rsidP="007D7686">
      <w:pPr>
        <w:spacing w:after="0"/>
        <w:ind w:firstLine="709"/>
        <w:jc w:val="both"/>
        <w:rPr>
          <w:b/>
          <w:bCs/>
          <w:lang w:val="uk-UA"/>
        </w:rPr>
      </w:pPr>
      <w:r w:rsidRPr="007D7686">
        <w:rPr>
          <w:b/>
          <w:bCs/>
          <w:lang w:val="uk-UA"/>
        </w:rPr>
        <w:t>1. Поняття медичної грамотності.</w:t>
      </w:r>
    </w:p>
    <w:p w14:paraId="3B1DA02B" w14:textId="77777777" w:rsidR="004A34B3" w:rsidRPr="00C52795" w:rsidRDefault="004A34B3" w:rsidP="004A34B3">
      <w:pPr>
        <w:spacing w:after="0" w:line="360" w:lineRule="auto"/>
        <w:ind w:firstLine="709"/>
        <w:jc w:val="both"/>
        <w:rPr>
          <w:szCs w:val="28"/>
          <w:lang w:val="uk-UA" w:eastAsia="uk-UA"/>
        </w:rPr>
      </w:pPr>
      <w:r w:rsidRPr="00C52795">
        <w:rPr>
          <w:rFonts w:cs="Times New Roman"/>
          <w:szCs w:val="28"/>
          <w:lang w:val="uk-UA"/>
        </w:rPr>
        <w:t xml:space="preserve">Поняття медичної грамотності набуває особливого значення для категорії студентської молоді в Україні з урахуванням досліджень та результатів статистичних даних щодо здоров’я та способу життя молоді. </w:t>
      </w:r>
      <w:r w:rsidRPr="00C52795">
        <w:rPr>
          <w:rStyle w:val="fontstyle63"/>
          <w:szCs w:val="28"/>
          <w:lang w:val="uk-UA" w:eastAsia="uk-UA"/>
        </w:rPr>
        <w:t>За класифікацією Дж.</w:t>
      </w:r>
      <w:r w:rsidRPr="00C52795">
        <w:rPr>
          <w:rStyle w:val="fontstyle63"/>
          <w:szCs w:val="28"/>
          <w:lang w:eastAsia="uk-UA"/>
        </w:rPr>
        <w:t> </w:t>
      </w:r>
      <w:r w:rsidRPr="00C52795">
        <w:rPr>
          <w:rStyle w:val="fontstyle63"/>
          <w:szCs w:val="28"/>
          <w:lang w:val="uk-UA" w:eastAsia="uk-UA"/>
        </w:rPr>
        <w:t>Роббінса, фактори, що впливають на здоров’я, можна розділити на чотири великі групи: спосіб життя; стан навколишнього середовища; біологічні чинники; обсяг і якість медичної допомоги</w:t>
      </w:r>
      <w:r w:rsidRPr="00C52795">
        <w:rPr>
          <w:color w:val="000000"/>
          <w:szCs w:val="28"/>
          <w:shd w:val="clear" w:color="auto" w:fill="FFFFFF"/>
          <w:lang w:val="uk-UA"/>
        </w:rPr>
        <w:t>, а за даними МОЗ України</w:t>
      </w:r>
      <w:r w:rsidRPr="00C52795">
        <w:rPr>
          <w:iCs/>
          <w:szCs w:val="28"/>
          <w:lang w:val="uk-UA"/>
        </w:rPr>
        <w:t xml:space="preserve"> захворюваність серед школярів за останні 10 років зросла на 26,8 %, а кількість дітей, що мають хронічні захворювання у дев’ятому класі, досягла 64 %, а при закінченні вишів даний показник збільшується до 80%.</w:t>
      </w:r>
    </w:p>
    <w:p w14:paraId="7A9653C8" w14:textId="453F2FB5" w:rsidR="004A34B3" w:rsidRPr="00C52795" w:rsidRDefault="004A34B3" w:rsidP="004A34B3">
      <w:pPr>
        <w:spacing w:after="0" w:line="360" w:lineRule="auto"/>
        <w:ind w:firstLine="709"/>
        <w:jc w:val="both"/>
        <w:rPr>
          <w:rFonts w:cs="Times New Roman"/>
          <w:szCs w:val="28"/>
          <w:lang w:val="uk-UA"/>
        </w:rPr>
      </w:pPr>
      <w:r w:rsidRPr="00C52795">
        <w:rPr>
          <w:rFonts w:cs="Times New Roman"/>
          <w:szCs w:val="28"/>
          <w:lang w:val="uk-UA"/>
        </w:rPr>
        <w:t xml:space="preserve">Стосовно поняття медичної грамотності, то його дефініція є досить конвенційною. Так, згідно визначень, які надаються ВООЗ, Міністерством охорони здоров’я США, Міжнародною енциклопедією громадського здоров’я, ГО «Мережа національних медичних бібліотек» (США), медична грамотність розглядається як рівень здатності отримувати, обробляти та розуміти основну медичну інформацію, необхідну для прийняття відповідних рішень у галузі охорони здоров’я. </w:t>
      </w:r>
    </w:p>
    <w:p w14:paraId="74190867" w14:textId="77777777" w:rsidR="004A34B3" w:rsidRPr="00C52795" w:rsidRDefault="004A34B3" w:rsidP="004A34B3">
      <w:pPr>
        <w:spacing w:after="0" w:line="360" w:lineRule="auto"/>
        <w:ind w:firstLine="709"/>
        <w:jc w:val="both"/>
        <w:rPr>
          <w:rFonts w:cs="Times New Roman"/>
          <w:szCs w:val="28"/>
          <w:lang w:val="uk-UA"/>
        </w:rPr>
      </w:pPr>
      <w:r w:rsidRPr="00C52795">
        <w:rPr>
          <w:rFonts w:cs="Times New Roman"/>
          <w:szCs w:val="28"/>
          <w:lang w:val="uk-UA"/>
        </w:rPr>
        <w:t xml:space="preserve">Щодо критеріїв медичної грамотності, то до них відносять: можливість доступу до послуг системи охорони здоров’я; здатність до аналізу ризиків та переваг лікування; здатність приймати медичні засоби у коректному дозування; спілкування та отримання консультацій від працівників системи охорони здоров’я; вміння знаходити якісну інформацію щодо здоров’я та коректно її інтерпретувати. </w:t>
      </w:r>
    </w:p>
    <w:p w14:paraId="7F645538" w14:textId="3B9CAE73" w:rsidR="004A34B3" w:rsidRPr="00C52795" w:rsidRDefault="004A34B3" w:rsidP="004A34B3">
      <w:pPr>
        <w:spacing w:after="0" w:line="360" w:lineRule="auto"/>
        <w:ind w:firstLine="709"/>
        <w:jc w:val="both"/>
        <w:rPr>
          <w:rFonts w:cs="Times New Roman"/>
          <w:szCs w:val="28"/>
          <w:lang w:val="uk-UA"/>
        </w:rPr>
      </w:pPr>
      <w:r w:rsidRPr="00C52795">
        <w:rPr>
          <w:rFonts w:cs="Times New Roman"/>
          <w:szCs w:val="28"/>
          <w:lang w:val="uk-UA"/>
        </w:rPr>
        <w:t xml:space="preserve">До додаткових критеріїв також прийнято відносити загальні навички, що визначають рівень компетентності особи в сфері роботи з інформаційними ресурсами та у Європі визначаються програмними документами Європейської комісії: навички розуміння візуальної інформації (зокрема графічної); загальна </w:t>
      </w:r>
      <w:r w:rsidRPr="00C52795">
        <w:rPr>
          <w:rFonts w:cs="Times New Roman"/>
          <w:szCs w:val="28"/>
          <w:lang w:val="uk-UA"/>
        </w:rPr>
        <w:lastRenderedPageBreak/>
        <w:t>комп’ютерна та інформаційна грамотність; вміння робити розрахунки та інтерпретувати цифрову інформацію.</w:t>
      </w:r>
    </w:p>
    <w:p w14:paraId="472644A6" w14:textId="77777777" w:rsidR="004A34B3" w:rsidRPr="007D7686" w:rsidRDefault="004A34B3" w:rsidP="004A34B3">
      <w:pPr>
        <w:spacing w:after="0" w:line="360" w:lineRule="auto"/>
        <w:ind w:firstLine="709"/>
        <w:jc w:val="both"/>
        <w:rPr>
          <w:rFonts w:cs="Times New Roman"/>
          <w:szCs w:val="28"/>
          <w:lang w:val="uk-UA"/>
        </w:rPr>
      </w:pPr>
      <w:r w:rsidRPr="00C52795">
        <w:rPr>
          <w:rFonts w:cs="Times New Roman"/>
          <w:szCs w:val="28"/>
          <w:lang w:val="uk-UA"/>
        </w:rPr>
        <w:t>Серед детермінант, які обумовлюють низький рівень медичної грамотності населення, сучасні дослідники виділяють: рівень розвитку суспільства в цілому; низький рівень освіти в країні; низький рівень доходу; культурні традиції; спад когнітивної функції, яка заважає сприйняттю відповідної інформації (характерно для суспільств з високою тривалістю життя населення).</w:t>
      </w:r>
    </w:p>
    <w:p w14:paraId="22245F29" w14:textId="6C1E669C" w:rsidR="004A34B3" w:rsidRPr="00C52795" w:rsidRDefault="004A34B3" w:rsidP="004A34B3">
      <w:pPr>
        <w:spacing w:after="0" w:line="360" w:lineRule="auto"/>
        <w:ind w:firstLine="709"/>
        <w:jc w:val="both"/>
        <w:rPr>
          <w:szCs w:val="28"/>
          <w:lang w:val="uk-UA"/>
        </w:rPr>
      </w:pPr>
      <w:r w:rsidRPr="00C52795">
        <w:rPr>
          <w:rFonts w:cs="Times New Roman"/>
          <w:szCs w:val="28"/>
          <w:lang w:val="uk-UA"/>
        </w:rPr>
        <w:t>Залежність між рівнем розвитку суспільства та домінуючим типом хвороб була проаналізована Дж. Паулсом, що дозволило йому виділити три паттерни</w:t>
      </w:r>
      <w:r w:rsidRPr="00C52795">
        <w:rPr>
          <w:szCs w:val="28"/>
          <w:lang w:val="uk-UA"/>
        </w:rPr>
        <w:t xml:space="preserve"> в історичному аспекті. Перші – доаграрні паттерни простих суспільств, де смертність популяції була викликана перш за все зовнішніми факторами, пов’язаними зі смертю на полюванні або нещасними випадками. Специфіка другого паттерна полягає в тому, шо у період аграрного суспільства причиною хвороби та смертності населення були епідемії та пандемії інфекційних захворювань. Інфекційна теорія хвороби, що була сформована у ХІХ столітті, стала домінувати у медицині. Третій паттерн припадає на період індустріального суспільства. У ХХ столітті були визнані психосоматичні захворювання, та в якості причин захворюваності визнані психоемоційний стрес та неправильний спосіб життя, що призвело до зміщення уваги – власне з хвороби на людину.</w:t>
      </w:r>
    </w:p>
    <w:p w14:paraId="68636CFA" w14:textId="4E89A044" w:rsidR="004A34B3" w:rsidRPr="00C52795" w:rsidRDefault="004A34B3" w:rsidP="004A34B3">
      <w:pPr>
        <w:spacing w:after="0" w:line="360" w:lineRule="auto"/>
        <w:ind w:firstLine="709"/>
        <w:jc w:val="both"/>
        <w:rPr>
          <w:rFonts w:cs="Times New Roman"/>
          <w:szCs w:val="28"/>
          <w:lang w:val="uk-UA"/>
        </w:rPr>
      </w:pPr>
      <w:r w:rsidRPr="00C52795">
        <w:rPr>
          <w:rFonts w:cs="Times New Roman"/>
          <w:szCs w:val="28"/>
          <w:lang w:val="uk-UA"/>
        </w:rPr>
        <w:t xml:space="preserve">Зв’язок «низький рівень медичної грамотності – низький рівень освіти» визнає ВООЗ, впроваджуючи відповідні заходи в межах програми «Медична грамотність та сталий розвиток» у різних країнах світу, зокрема у Анголі, В’єтнамі, Мексиці та ін., які проводяться з 2007 року та включають низку освітніх і просвітницьких заходів по роботі з соціально незахищеними групами населення та включає: поширення зручної для сприйняття медичної інформації, яка базується на відомостях щодо рівня освіти та грамотності місцевого населення; сприяння формуванню нейтральної та дружньої атмосфери у взаємодії представників медичної сфери та хворих; навчання </w:t>
      </w:r>
      <w:r w:rsidRPr="00C52795">
        <w:rPr>
          <w:rFonts w:cs="Times New Roman"/>
          <w:szCs w:val="28"/>
          <w:lang w:val="uk-UA"/>
        </w:rPr>
        <w:lastRenderedPageBreak/>
        <w:t>фахівців, соціальних працівників та волонтерів щодо важливості медичної грамотності та ефективного спілкування у сфері охорони здоров’я; врахування місцевих культурних вірувань та звичаїв при розробці заходів чи програм для підвищення рівня медичної грамотності населення в цільовій популяції.</w:t>
      </w:r>
    </w:p>
    <w:p w14:paraId="49589ECB" w14:textId="58BF5F06" w:rsidR="004A34B3" w:rsidRPr="00C52795" w:rsidRDefault="004A34B3" w:rsidP="004A34B3">
      <w:pPr>
        <w:spacing w:after="0" w:line="360" w:lineRule="auto"/>
        <w:ind w:firstLine="709"/>
        <w:jc w:val="both"/>
        <w:rPr>
          <w:rFonts w:cs="Times New Roman"/>
          <w:szCs w:val="28"/>
          <w:lang w:val="uk-UA"/>
        </w:rPr>
      </w:pPr>
      <w:r w:rsidRPr="00C52795">
        <w:rPr>
          <w:rFonts w:cs="Times New Roman"/>
          <w:szCs w:val="28"/>
          <w:lang w:val="uk-UA"/>
        </w:rPr>
        <w:t>Зв’язок між медичною грамотністю та економічним добробутом населення у публікації 2020 року підкреслив Австралійський Інститут здоров’я та благополуччя, зазначаючи, що низький рівень добробуту часто пов’язаний низькою взаємодією зі службами охорони здоров'я; рідким зверненням до профілактичних заходів; більш частим зверненням до повторних прийомів у лікаря; гірших показників розуміння інструкцій щодо прийому ліків (наприклад, недотримання правил, неналежне використання); недостатньою здатністю до самостійного управління доглядом при хронічних захворюваннях.</w:t>
      </w:r>
    </w:p>
    <w:p w14:paraId="49DADC1B" w14:textId="77777777" w:rsidR="004A34B3" w:rsidRPr="00C52795" w:rsidRDefault="004A34B3" w:rsidP="004A34B3">
      <w:pPr>
        <w:spacing w:after="0" w:line="360" w:lineRule="auto"/>
        <w:ind w:firstLine="709"/>
        <w:jc w:val="both"/>
        <w:rPr>
          <w:rFonts w:cs="Times New Roman"/>
          <w:szCs w:val="28"/>
          <w:lang w:val="uk-UA"/>
        </w:rPr>
      </w:pPr>
    </w:p>
    <w:p w14:paraId="6CB45D7E" w14:textId="77777777" w:rsidR="007D7686" w:rsidRPr="007D7686" w:rsidRDefault="007D7686" w:rsidP="007D7686">
      <w:pPr>
        <w:spacing w:after="0" w:line="360" w:lineRule="auto"/>
        <w:ind w:firstLine="709"/>
        <w:jc w:val="both"/>
        <w:rPr>
          <w:b/>
          <w:bCs/>
          <w:lang w:val="uk-UA"/>
        </w:rPr>
      </w:pPr>
      <w:r w:rsidRPr="007D7686">
        <w:rPr>
          <w:b/>
          <w:bCs/>
          <w:lang w:val="uk-UA"/>
        </w:rPr>
        <w:t xml:space="preserve">2. Дослідження медичної грамотності. </w:t>
      </w:r>
    </w:p>
    <w:p w14:paraId="27E2BAF8" w14:textId="5533D716" w:rsidR="004A34B3" w:rsidRPr="00C52795" w:rsidRDefault="004A34B3" w:rsidP="007D7686">
      <w:pPr>
        <w:spacing w:after="0" w:line="360" w:lineRule="auto"/>
        <w:ind w:firstLine="709"/>
        <w:jc w:val="both"/>
        <w:rPr>
          <w:szCs w:val="28"/>
          <w:lang w:val="uk-UA"/>
        </w:rPr>
      </w:pPr>
      <w:r w:rsidRPr="00C52795">
        <w:rPr>
          <w:rFonts w:cs="Times New Roman"/>
          <w:szCs w:val="28"/>
          <w:lang w:val="uk-UA"/>
        </w:rPr>
        <w:t>Щодо соціологічних</w:t>
      </w:r>
      <w:r w:rsidRPr="00C52795">
        <w:rPr>
          <w:szCs w:val="28"/>
          <w:lang w:val="uk-UA"/>
        </w:rPr>
        <w:t xml:space="preserve"> досліджень у ХХ віці, то Е. Гідденс приділяв увагу здоров’ю та хворобі у власних творах. Так, він розглядав соціальний базис здоров’я та виділяв культурні та економічні причини, які його погіршують. </w:t>
      </w:r>
      <w:r>
        <w:rPr>
          <w:szCs w:val="28"/>
          <w:lang w:val="uk-UA"/>
        </w:rPr>
        <w:t>Також Е.</w:t>
      </w:r>
      <w:r>
        <w:rPr>
          <w:szCs w:val="28"/>
        </w:rPr>
        <w:t> </w:t>
      </w:r>
      <w:r w:rsidRPr="00C52795">
        <w:rPr>
          <w:szCs w:val="28"/>
          <w:lang w:val="uk-UA"/>
        </w:rPr>
        <w:t>Гідденс зазначав, що відсутність медичної поінформованості та самолікування впливають на загальний стан людини. Самостійне призначення собі медичних препаратів та загальних низький рівень медичної грамотності є причинами падіння тривалості життя декотрих груп населення та пізньої діагностики захворювань, яка вимагає значно більших зусиль у їх лікуванні. Також до причин, які погіршують здоров’я, Е. Гідденс додає проживання в криміналізованому районі, паління, надмірне вживання спиртного, вживання наркотиків, відмову від безпечного сексу та відсутність прийнятного дозвілля або доступу в парки та сади. Всі зазначені причини, на його думку, пов’язані між собою.</w:t>
      </w:r>
    </w:p>
    <w:p w14:paraId="402B88E5" w14:textId="77777777" w:rsidR="004A34B3" w:rsidRPr="00C52795" w:rsidRDefault="004A34B3" w:rsidP="004A34B3">
      <w:pPr>
        <w:spacing w:after="0" w:line="360" w:lineRule="auto"/>
        <w:ind w:firstLine="709"/>
        <w:jc w:val="both"/>
        <w:rPr>
          <w:szCs w:val="28"/>
          <w:lang w:val="uk-UA"/>
        </w:rPr>
      </w:pPr>
      <w:r w:rsidRPr="00C52795">
        <w:rPr>
          <w:szCs w:val="28"/>
          <w:lang w:val="uk-UA"/>
        </w:rPr>
        <w:t xml:space="preserve">Щодо вивчення інституціоналізованих відносин, то Т. Парсонс аналізував відношення лікар-пацієент, які є відношеннями з визначеними </w:t>
      </w:r>
      <w:r w:rsidRPr="00C52795">
        <w:rPr>
          <w:szCs w:val="28"/>
          <w:lang w:val="uk-UA"/>
        </w:rPr>
        <w:lastRenderedPageBreak/>
        <w:t>правами та обов’язками та представлють мікромодель соціального інституту охорони здоров’я, що гарантує збереження суспільної цінності – здоров’я. Ці відношення є не тільки соціальними, але й економічними, бо виражають відносини «виробник – споживач».</w:t>
      </w:r>
    </w:p>
    <w:p w14:paraId="612F99FF" w14:textId="3AB435F1" w:rsidR="004A34B3" w:rsidRPr="00C52795" w:rsidRDefault="004A34B3" w:rsidP="004A34B3">
      <w:pPr>
        <w:spacing w:after="0" w:line="360" w:lineRule="auto"/>
        <w:ind w:firstLine="709"/>
        <w:jc w:val="both"/>
        <w:rPr>
          <w:szCs w:val="28"/>
          <w:lang w:val="uk-UA"/>
        </w:rPr>
      </w:pPr>
      <w:r w:rsidRPr="00C52795">
        <w:rPr>
          <w:szCs w:val="28"/>
          <w:lang w:val="uk-UA"/>
        </w:rPr>
        <w:t>Т. Парсонс приділяв увагу поняттю «роль хворого». Хворобу можна розглядати як вид соціального відхилення, в межах якого індивід починає грати специфічну роль: звільнення від повсякденних соціальних обов’язків; на людину не покладається провина за те, що вона захворіла; очікується, що хворий буде прагнути отримати професійну компетентну допомогу, тому що хвороба вважається соціально небажаним явищем; очікується, що людина буде слідувати режиму, визначеному лікарем.</w:t>
      </w:r>
    </w:p>
    <w:p w14:paraId="0766EAC1" w14:textId="00631BDD" w:rsidR="004A34B3" w:rsidRPr="00C52795" w:rsidRDefault="004A34B3" w:rsidP="004A34B3">
      <w:pPr>
        <w:pStyle w:val="p94"/>
        <w:spacing w:before="0" w:beforeAutospacing="0" w:after="0" w:afterAutospacing="0" w:line="360" w:lineRule="auto"/>
        <w:ind w:firstLine="709"/>
        <w:jc w:val="both"/>
        <w:rPr>
          <w:color w:val="000000"/>
          <w:sz w:val="28"/>
          <w:szCs w:val="28"/>
          <w:lang w:val="uk-UA"/>
        </w:rPr>
      </w:pPr>
      <w:r w:rsidRPr="00C52795">
        <w:rPr>
          <w:color w:val="000000"/>
          <w:sz w:val="28"/>
          <w:szCs w:val="28"/>
          <w:lang w:val="uk-UA"/>
        </w:rPr>
        <w:t>І. Журавльова розглядала зв’язок здоров’я молоді та роль медичної інформованості. Зміст медичної інформованості полягає в достатньому рівні знань про шкоду шкідливих звичок, про надання першої медичної допомоги та про вплив певного препарату на організм</w:t>
      </w:r>
      <w:r w:rsidRPr="00C52795">
        <w:rPr>
          <w:sz w:val="28"/>
          <w:szCs w:val="28"/>
          <w:lang w:val="uk-UA"/>
        </w:rPr>
        <w:t>.</w:t>
      </w:r>
      <w:r w:rsidRPr="00C52795">
        <w:rPr>
          <w:color w:val="000000"/>
          <w:sz w:val="28"/>
          <w:szCs w:val="28"/>
          <w:lang w:val="uk-UA"/>
        </w:rPr>
        <w:t xml:space="preserve"> Адже кожен препарат має свої особливості та протипоказання при застосуванні, кожна людина повинна розуміти, яка реакція буде організму після його прийняття. Якщо індивід не достатньо знає склад препарату та свою реакцію після його прийому, то його прийняття може нашкодити здоров’ю. </w:t>
      </w:r>
    </w:p>
    <w:p w14:paraId="12489800" w14:textId="77777777" w:rsidR="004A34B3" w:rsidRPr="00C52795" w:rsidRDefault="004A34B3" w:rsidP="004A34B3">
      <w:pPr>
        <w:pStyle w:val="p94"/>
        <w:spacing w:before="0" w:beforeAutospacing="0" w:after="0" w:afterAutospacing="0" w:line="360" w:lineRule="auto"/>
        <w:ind w:firstLine="709"/>
        <w:jc w:val="both"/>
        <w:rPr>
          <w:color w:val="000000"/>
          <w:sz w:val="28"/>
          <w:szCs w:val="28"/>
          <w:lang w:val="uk-UA"/>
        </w:rPr>
      </w:pPr>
      <w:r w:rsidRPr="00C52795">
        <w:rPr>
          <w:color w:val="000000"/>
          <w:sz w:val="28"/>
          <w:szCs w:val="28"/>
          <w:lang w:val="uk-UA"/>
        </w:rPr>
        <w:t xml:space="preserve">І. Журавлева акцентує увагу на ґендерних відмінностях відношення до здоров’я. Жінки більш </w:t>
      </w:r>
      <w:proofErr w:type="spellStart"/>
      <w:r w:rsidRPr="00C52795">
        <w:rPr>
          <w:color w:val="000000"/>
          <w:sz w:val="28"/>
          <w:szCs w:val="28"/>
          <w:lang w:val="uk-UA"/>
        </w:rPr>
        <w:t>відповідально</w:t>
      </w:r>
      <w:proofErr w:type="spellEnd"/>
      <w:r w:rsidRPr="00C52795">
        <w:rPr>
          <w:color w:val="000000"/>
          <w:sz w:val="28"/>
          <w:szCs w:val="28"/>
          <w:lang w:val="uk-UA"/>
        </w:rPr>
        <w:t xml:space="preserve"> ставляться до візиту в лікарню, якщо є потреба. Вони зазвичай звертаються до лікарів на ранніх стадіях хвороби. Також у жінок є більша відповідальність за здоров’я всієї родини. А чоловіки навпаки, відвідують лікарів вже на пізніх стадіях хвороби, коли вже дуже себе погано почувають</w:t>
      </w:r>
      <w:r w:rsidRPr="00C52795">
        <w:rPr>
          <w:color w:val="000000"/>
          <w:sz w:val="28"/>
          <w:szCs w:val="28"/>
        </w:rPr>
        <w:t>.</w:t>
      </w:r>
    </w:p>
    <w:p w14:paraId="05FC0016" w14:textId="3903E27C" w:rsidR="004A34B3" w:rsidRPr="00C52795" w:rsidRDefault="004A34B3" w:rsidP="004A34B3">
      <w:pPr>
        <w:spacing w:after="0" w:line="360" w:lineRule="auto"/>
        <w:ind w:firstLine="709"/>
        <w:jc w:val="both"/>
        <w:rPr>
          <w:rFonts w:cs="Times New Roman"/>
          <w:szCs w:val="28"/>
          <w:lang w:val="uk-UA"/>
        </w:rPr>
      </w:pPr>
      <w:r w:rsidRPr="00C52795">
        <w:rPr>
          <w:rFonts w:cs="Times New Roman"/>
          <w:szCs w:val="28"/>
          <w:lang w:val="uk-UA"/>
        </w:rPr>
        <w:t>Згідно дослідження Г. Виговської, особливу роль у придбанні медичних препаратів відіграє рекламна продукція, де цільовою аудиторією виступає молод</w:t>
      </w:r>
      <w:r w:rsidR="007D7686">
        <w:rPr>
          <w:rFonts w:cs="Times New Roman"/>
          <w:szCs w:val="28"/>
        </w:rPr>
        <w:t>m</w:t>
      </w:r>
      <w:r w:rsidRPr="00C52795">
        <w:rPr>
          <w:rFonts w:cs="Times New Roman"/>
          <w:szCs w:val="28"/>
          <w:lang w:val="uk-UA"/>
        </w:rPr>
        <w:t xml:space="preserve">. Власне специфіка концептів реклами лікарських засобів включає формування установок до самолікування, побоювання візитів до лікаря, </w:t>
      </w:r>
      <w:r w:rsidRPr="00C52795">
        <w:rPr>
          <w:rFonts w:cs="Times New Roman"/>
          <w:szCs w:val="28"/>
          <w:lang w:val="uk-UA"/>
        </w:rPr>
        <w:lastRenderedPageBreak/>
        <w:t>впевненості в можливості самостійно та правильно призначати собі лікування та ін.</w:t>
      </w:r>
    </w:p>
    <w:p w14:paraId="2F9BF56E" w14:textId="6D54FB70" w:rsidR="004A34B3" w:rsidRPr="00C52795" w:rsidRDefault="004A34B3" w:rsidP="004A34B3">
      <w:pPr>
        <w:spacing w:after="0" w:line="360" w:lineRule="auto"/>
        <w:ind w:firstLine="709"/>
        <w:jc w:val="both"/>
        <w:rPr>
          <w:rFonts w:cs="Times New Roman"/>
          <w:szCs w:val="28"/>
          <w:lang w:val="uk-UA"/>
        </w:rPr>
      </w:pPr>
      <w:r w:rsidRPr="00C52795">
        <w:rPr>
          <w:rFonts w:cs="Times New Roman"/>
          <w:szCs w:val="28"/>
          <w:lang w:val="uk-UA"/>
        </w:rPr>
        <w:t>Слід зазначити, що проблематика медичної грамотності стосується не лише країн, що розвиваються. В якості ілюстративного прикладу можна навести статистичні дані за країнами Європейського Союзу, представлені Євростатом: стан власного здоров’я як «дуже добрий» оцінило 22,9%, «добрий» – 46,8</w:t>
      </w:r>
      <w:r w:rsidRPr="004A34B3">
        <w:rPr>
          <w:rFonts w:cs="Times New Roman"/>
          <w:szCs w:val="28"/>
          <w:lang w:val="ru-RU"/>
        </w:rPr>
        <w:t>%</w:t>
      </w:r>
      <w:r w:rsidRPr="00C52795">
        <w:rPr>
          <w:rFonts w:cs="Times New Roman"/>
          <w:szCs w:val="28"/>
          <w:lang w:val="uk-UA"/>
        </w:rPr>
        <w:t>, «посередній» – 22%, «поганий» – 6,7%; ліки, що не були виписані лікарем, вживало 34,6% респондентів, призначені лікарем – 48,6%, тобто практики самолікування властиві представниками різних країн; стосовно практик здорового харчування 34,4% респондентів зазначили, що протягом тижня не в</w:t>
      </w:r>
      <w:r>
        <w:rPr>
          <w:rFonts w:cs="Times New Roman"/>
          <w:szCs w:val="28"/>
          <w:lang w:val="uk-UA"/>
        </w:rPr>
        <w:t xml:space="preserve">живають фрукти та овочі, 51,4% </w:t>
      </w:r>
      <w:r w:rsidRPr="004A34B3">
        <w:rPr>
          <w:rFonts w:cs="Times New Roman"/>
          <w:szCs w:val="28"/>
          <w:lang w:val="ru-RU"/>
        </w:rPr>
        <w:t>–</w:t>
      </w:r>
      <w:r w:rsidRPr="00C52795">
        <w:rPr>
          <w:rFonts w:cs="Times New Roman"/>
          <w:szCs w:val="28"/>
          <w:lang w:val="uk-UA"/>
        </w:rPr>
        <w:t xml:space="preserve"> вживають від 0 до 4 порцій (до 300 г), 14,4% – вживають 5 та більше порцій фруктів та овочів (від 375 г); 48,8% респондентів протягом тижня витрачали 0 хвили</w:t>
      </w:r>
      <w:r>
        <w:rPr>
          <w:rFonts w:cs="Times New Roman"/>
          <w:szCs w:val="28"/>
          <w:lang w:val="uk-UA"/>
        </w:rPr>
        <w:t>н на фізичну активність, 20,4% –</w:t>
      </w:r>
      <w:r w:rsidRPr="00C52795">
        <w:rPr>
          <w:rFonts w:cs="Times New Roman"/>
          <w:szCs w:val="28"/>
          <w:lang w:val="uk-UA"/>
        </w:rPr>
        <w:t xml:space="preserve"> від 1 до 146 хвилин, 14,2% – від 150 до 299 хвилин, 16,6% – від 300 хвилин.</w:t>
      </w:r>
    </w:p>
    <w:sectPr w:rsidR="004A34B3" w:rsidRPr="00C5279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15"/>
    <w:rsid w:val="00083F15"/>
    <w:rsid w:val="00326085"/>
    <w:rsid w:val="004A34B3"/>
    <w:rsid w:val="00697B3E"/>
    <w:rsid w:val="006B7A4A"/>
    <w:rsid w:val="006C0B77"/>
    <w:rsid w:val="007D7686"/>
    <w:rsid w:val="008242FF"/>
    <w:rsid w:val="00870751"/>
    <w:rsid w:val="00922C48"/>
    <w:rsid w:val="00AA64D1"/>
    <w:rsid w:val="00B915B7"/>
    <w:rsid w:val="00C36E4D"/>
    <w:rsid w:val="00EA59DF"/>
    <w:rsid w:val="00EE4070"/>
    <w:rsid w:val="00F12C76"/>
    <w:rsid w:val="00FC5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0DF1"/>
  <w15:chartTrackingRefBased/>
  <w15:docId w15:val="{5FB9014E-6997-4F3A-8226-0236274A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noProof/>
      <w:sz w:val="28"/>
      <w:lang w:val="en-US"/>
    </w:rPr>
  </w:style>
  <w:style w:type="paragraph" w:styleId="1">
    <w:name w:val="heading 1"/>
    <w:basedOn w:val="a"/>
    <w:next w:val="a"/>
    <w:link w:val="10"/>
    <w:uiPriority w:val="9"/>
    <w:qFormat/>
    <w:rsid w:val="00083F1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83F1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83F15"/>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083F1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083F15"/>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083F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83F15"/>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83F15"/>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83F15"/>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83F15"/>
    <w:rPr>
      <w:rFonts w:asciiTheme="majorHAnsi" w:eastAsiaTheme="majorEastAsia" w:hAnsiTheme="majorHAnsi" w:cstheme="majorBidi"/>
      <w:noProof/>
      <w:color w:val="2E74B5" w:themeColor="accent1" w:themeShade="BF"/>
      <w:sz w:val="40"/>
      <w:szCs w:val="40"/>
      <w:lang w:val="en-US"/>
    </w:rPr>
  </w:style>
  <w:style w:type="character" w:customStyle="1" w:styleId="20">
    <w:name w:val="Заголовок 2 Знак"/>
    <w:basedOn w:val="a0"/>
    <w:link w:val="2"/>
    <w:uiPriority w:val="9"/>
    <w:semiHidden/>
    <w:rsid w:val="00083F15"/>
    <w:rPr>
      <w:rFonts w:asciiTheme="majorHAnsi" w:eastAsiaTheme="majorEastAsia" w:hAnsiTheme="majorHAnsi" w:cstheme="majorBidi"/>
      <w:noProof/>
      <w:color w:val="2E74B5" w:themeColor="accent1" w:themeShade="BF"/>
      <w:sz w:val="32"/>
      <w:szCs w:val="32"/>
      <w:lang w:val="en-US"/>
    </w:rPr>
  </w:style>
  <w:style w:type="character" w:customStyle="1" w:styleId="30">
    <w:name w:val="Заголовок 3 Знак"/>
    <w:basedOn w:val="a0"/>
    <w:link w:val="3"/>
    <w:uiPriority w:val="9"/>
    <w:semiHidden/>
    <w:rsid w:val="00083F15"/>
    <w:rPr>
      <w:rFonts w:eastAsiaTheme="majorEastAsia" w:cstheme="majorBidi"/>
      <w:noProof/>
      <w:color w:val="2E74B5" w:themeColor="accent1" w:themeShade="BF"/>
      <w:sz w:val="28"/>
      <w:szCs w:val="28"/>
      <w:lang w:val="en-US"/>
    </w:rPr>
  </w:style>
  <w:style w:type="character" w:customStyle="1" w:styleId="40">
    <w:name w:val="Заголовок 4 Знак"/>
    <w:basedOn w:val="a0"/>
    <w:link w:val="4"/>
    <w:uiPriority w:val="9"/>
    <w:semiHidden/>
    <w:rsid w:val="00083F15"/>
    <w:rPr>
      <w:rFonts w:eastAsiaTheme="majorEastAsia" w:cstheme="majorBidi"/>
      <w:i/>
      <w:iCs/>
      <w:noProof/>
      <w:color w:val="2E74B5" w:themeColor="accent1" w:themeShade="BF"/>
      <w:sz w:val="28"/>
      <w:lang w:val="en-US"/>
    </w:rPr>
  </w:style>
  <w:style w:type="character" w:customStyle="1" w:styleId="50">
    <w:name w:val="Заголовок 5 Знак"/>
    <w:basedOn w:val="a0"/>
    <w:link w:val="5"/>
    <w:uiPriority w:val="9"/>
    <w:semiHidden/>
    <w:rsid w:val="00083F15"/>
    <w:rPr>
      <w:rFonts w:eastAsiaTheme="majorEastAsia" w:cstheme="majorBidi"/>
      <w:noProof/>
      <w:color w:val="2E74B5" w:themeColor="accent1" w:themeShade="BF"/>
      <w:sz w:val="28"/>
      <w:lang w:val="en-US"/>
    </w:rPr>
  </w:style>
  <w:style w:type="character" w:customStyle="1" w:styleId="60">
    <w:name w:val="Заголовок 6 Знак"/>
    <w:basedOn w:val="a0"/>
    <w:link w:val="6"/>
    <w:uiPriority w:val="9"/>
    <w:semiHidden/>
    <w:rsid w:val="00083F15"/>
    <w:rPr>
      <w:rFonts w:eastAsiaTheme="majorEastAsia" w:cstheme="majorBidi"/>
      <w:i/>
      <w:iCs/>
      <w:noProof/>
      <w:color w:val="595959" w:themeColor="text1" w:themeTint="A6"/>
      <w:sz w:val="28"/>
      <w:lang w:val="en-US"/>
    </w:rPr>
  </w:style>
  <w:style w:type="character" w:customStyle="1" w:styleId="70">
    <w:name w:val="Заголовок 7 Знак"/>
    <w:basedOn w:val="a0"/>
    <w:link w:val="7"/>
    <w:uiPriority w:val="9"/>
    <w:semiHidden/>
    <w:rsid w:val="00083F15"/>
    <w:rPr>
      <w:rFonts w:eastAsiaTheme="majorEastAsia" w:cstheme="majorBidi"/>
      <w:noProof/>
      <w:color w:val="595959" w:themeColor="text1" w:themeTint="A6"/>
      <w:sz w:val="28"/>
      <w:lang w:val="en-US"/>
    </w:rPr>
  </w:style>
  <w:style w:type="character" w:customStyle="1" w:styleId="80">
    <w:name w:val="Заголовок 8 Знак"/>
    <w:basedOn w:val="a0"/>
    <w:link w:val="8"/>
    <w:uiPriority w:val="9"/>
    <w:semiHidden/>
    <w:rsid w:val="00083F15"/>
    <w:rPr>
      <w:rFonts w:eastAsiaTheme="majorEastAsia" w:cstheme="majorBidi"/>
      <w:i/>
      <w:iCs/>
      <w:noProof/>
      <w:color w:val="272727" w:themeColor="text1" w:themeTint="D8"/>
      <w:sz w:val="28"/>
      <w:lang w:val="en-US"/>
    </w:rPr>
  </w:style>
  <w:style w:type="character" w:customStyle="1" w:styleId="90">
    <w:name w:val="Заголовок 9 Знак"/>
    <w:basedOn w:val="a0"/>
    <w:link w:val="9"/>
    <w:uiPriority w:val="9"/>
    <w:semiHidden/>
    <w:rsid w:val="00083F15"/>
    <w:rPr>
      <w:rFonts w:eastAsiaTheme="majorEastAsia" w:cstheme="majorBidi"/>
      <w:noProof/>
      <w:color w:val="272727" w:themeColor="text1" w:themeTint="D8"/>
      <w:sz w:val="28"/>
      <w:lang w:val="en-US"/>
    </w:rPr>
  </w:style>
  <w:style w:type="paragraph" w:styleId="a3">
    <w:name w:val="Title"/>
    <w:basedOn w:val="a"/>
    <w:next w:val="a"/>
    <w:link w:val="a4"/>
    <w:uiPriority w:val="10"/>
    <w:qFormat/>
    <w:rsid w:val="00083F15"/>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83F15"/>
    <w:rPr>
      <w:rFonts w:asciiTheme="majorHAnsi" w:eastAsiaTheme="majorEastAsia" w:hAnsiTheme="majorHAnsi" w:cstheme="majorBidi"/>
      <w:noProof/>
      <w:spacing w:val="-10"/>
      <w:kern w:val="28"/>
      <w:sz w:val="56"/>
      <w:szCs w:val="56"/>
      <w:lang w:val="en-US"/>
    </w:rPr>
  </w:style>
  <w:style w:type="paragraph" w:styleId="a5">
    <w:name w:val="Subtitle"/>
    <w:basedOn w:val="a"/>
    <w:next w:val="a"/>
    <w:link w:val="a6"/>
    <w:uiPriority w:val="11"/>
    <w:qFormat/>
    <w:rsid w:val="00083F15"/>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083F15"/>
    <w:rPr>
      <w:rFonts w:eastAsiaTheme="majorEastAsia" w:cstheme="majorBidi"/>
      <w:noProof/>
      <w:color w:val="595959" w:themeColor="text1" w:themeTint="A6"/>
      <w:spacing w:val="15"/>
      <w:sz w:val="28"/>
      <w:szCs w:val="28"/>
      <w:lang w:val="en-US"/>
    </w:rPr>
  </w:style>
  <w:style w:type="paragraph" w:styleId="a7">
    <w:name w:val="Quote"/>
    <w:basedOn w:val="a"/>
    <w:next w:val="a"/>
    <w:link w:val="a8"/>
    <w:uiPriority w:val="29"/>
    <w:qFormat/>
    <w:rsid w:val="00083F15"/>
    <w:pPr>
      <w:spacing w:before="160"/>
      <w:jc w:val="center"/>
    </w:pPr>
    <w:rPr>
      <w:i/>
      <w:iCs/>
      <w:color w:val="404040" w:themeColor="text1" w:themeTint="BF"/>
    </w:rPr>
  </w:style>
  <w:style w:type="character" w:customStyle="1" w:styleId="a8">
    <w:name w:val="Цитата Знак"/>
    <w:basedOn w:val="a0"/>
    <w:link w:val="a7"/>
    <w:uiPriority w:val="29"/>
    <w:rsid w:val="00083F15"/>
    <w:rPr>
      <w:rFonts w:ascii="Times New Roman" w:hAnsi="Times New Roman"/>
      <w:i/>
      <w:iCs/>
      <w:noProof/>
      <w:color w:val="404040" w:themeColor="text1" w:themeTint="BF"/>
      <w:sz w:val="28"/>
      <w:lang w:val="en-US"/>
    </w:rPr>
  </w:style>
  <w:style w:type="paragraph" w:styleId="a9">
    <w:name w:val="List Paragraph"/>
    <w:basedOn w:val="a"/>
    <w:uiPriority w:val="34"/>
    <w:qFormat/>
    <w:rsid w:val="00083F15"/>
    <w:pPr>
      <w:ind w:left="720"/>
      <w:contextualSpacing/>
    </w:pPr>
  </w:style>
  <w:style w:type="character" w:styleId="aa">
    <w:name w:val="Intense Emphasis"/>
    <w:basedOn w:val="a0"/>
    <w:uiPriority w:val="21"/>
    <w:qFormat/>
    <w:rsid w:val="00083F15"/>
    <w:rPr>
      <w:i/>
      <w:iCs/>
      <w:color w:val="2E74B5" w:themeColor="accent1" w:themeShade="BF"/>
    </w:rPr>
  </w:style>
  <w:style w:type="paragraph" w:styleId="ab">
    <w:name w:val="Intense Quote"/>
    <w:basedOn w:val="a"/>
    <w:next w:val="a"/>
    <w:link w:val="ac"/>
    <w:uiPriority w:val="30"/>
    <w:qFormat/>
    <w:rsid w:val="00083F1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83F15"/>
    <w:rPr>
      <w:rFonts w:ascii="Times New Roman" w:hAnsi="Times New Roman"/>
      <w:i/>
      <w:iCs/>
      <w:noProof/>
      <w:color w:val="2E74B5" w:themeColor="accent1" w:themeShade="BF"/>
      <w:sz w:val="28"/>
      <w:lang w:val="en-US"/>
    </w:rPr>
  </w:style>
  <w:style w:type="character" w:styleId="ad">
    <w:name w:val="Intense Reference"/>
    <w:basedOn w:val="a0"/>
    <w:uiPriority w:val="32"/>
    <w:qFormat/>
    <w:rsid w:val="00083F15"/>
    <w:rPr>
      <w:b/>
      <w:bCs/>
      <w:smallCaps/>
      <w:color w:val="2E74B5" w:themeColor="accent1" w:themeShade="BF"/>
      <w:spacing w:val="5"/>
    </w:rPr>
  </w:style>
  <w:style w:type="character" w:customStyle="1" w:styleId="fontstyle63">
    <w:name w:val="fontstyle63"/>
    <w:basedOn w:val="a0"/>
    <w:rsid w:val="004A34B3"/>
  </w:style>
  <w:style w:type="paragraph" w:customStyle="1" w:styleId="p94">
    <w:name w:val="p94"/>
    <w:basedOn w:val="a"/>
    <w:rsid w:val="004A34B3"/>
    <w:pPr>
      <w:spacing w:before="100" w:beforeAutospacing="1" w:after="100" w:afterAutospacing="1"/>
    </w:pPr>
    <w:rPr>
      <w:rFonts w:eastAsia="Times New Roman" w:cs="Times New Roman"/>
      <w:noProof w:val="0"/>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5</Pages>
  <Words>5532</Words>
  <Characters>3154</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2025-09-03T06:25:00Z</dcterms:created>
  <dcterms:modified xsi:type="dcterms:W3CDTF">2025-09-09T08:48:00Z</dcterms:modified>
</cp:coreProperties>
</file>