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CB3C" w14:textId="23BC1452" w:rsidR="00E26733" w:rsidRPr="00C342B2" w:rsidRDefault="00C30086" w:rsidP="00C30086">
      <w:pPr>
        <w:spacing w:after="0" w:line="240" w:lineRule="auto"/>
        <w:jc w:val="center"/>
        <w:rPr>
          <w:rFonts w:ascii="Cambria" w:hAnsi="Cambria" w:cs="Times New Roman"/>
          <w:b/>
          <w:bCs/>
          <w:sz w:val="28"/>
          <w:szCs w:val="28"/>
          <w:lang w:val="uk-UA"/>
        </w:rPr>
      </w:pPr>
      <w:r w:rsidRPr="00C342B2">
        <w:rPr>
          <w:rFonts w:ascii="Cambria" w:hAnsi="Cambria" w:cs="Times New Roman"/>
          <w:b/>
          <w:bCs/>
          <w:sz w:val="28"/>
          <w:szCs w:val="28"/>
          <w:lang w:val="uk-UA"/>
        </w:rPr>
        <w:t>ЛЕКЦІЯ 4</w:t>
      </w:r>
    </w:p>
    <w:p w14:paraId="0164417E" w14:textId="13EDB734" w:rsidR="00C342B2" w:rsidRPr="00C342B2" w:rsidRDefault="00C342B2" w:rsidP="00C30086">
      <w:pPr>
        <w:spacing w:after="0" w:line="240" w:lineRule="auto"/>
        <w:jc w:val="center"/>
        <w:rPr>
          <w:rFonts w:ascii="Cambria" w:hAnsi="Cambria" w:cs="Times New Roman"/>
          <w:b/>
          <w:bCs/>
          <w:sz w:val="28"/>
          <w:szCs w:val="28"/>
          <w:lang w:val="uk-UA"/>
        </w:rPr>
      </w:pPr>
      <w:r w:rsidRPr="00C342B2">
        <w:rPr>
          <w:rFonts w:ascii="Cambria" w:hAnsi="Cambria" w:cs="Times New Roman"/>
          <w:b/>
          <w:bCs/>
          <w:sz w:val="28"/>
          <w:szCs w:val="28"/>
          <w:lang w:val="uk-UA"/>
        </w:rPr>
        <w:t>УКРАЇНА В ПРОЦЕСАХ ЄВРОПЕЙСЬКОЇ ІНТЕГРАЦІЇ</w:t>
      </w:r>
    </w:p>
    <w:p w14:paraId="6CA3AC2A" w14:textId="5E10BFAB" w:rsidR="00C30086" w:rsidRPr="00C342B2" w:rsidRDefault="00C30086" w:rsidP="00C30086">
      <w:pPr>
        <w:spacing w:after="0" w:line="240" w:lineRule="auto"/>
        <w:jc w:val="center"/>
        <w:rPr>
          <w:rFonts w:ascii="Cambria" w:hAnsi="Cambria" w:cs="Times New Roman"/>
          <w:sz w:val="28"/>
          <w:szCs w:val="28"/>
          <w:lang w:val="uk-UA"/>
        </w:rPr>
      </w:pPr>
    </w:p>
    <w:p w14:paraId="4395D910" w14:textId="66B521C3" w:rsidR="00C30086" w:rsidRPr="00C342B2" w:rsidRDefault="00C30086" w:rsidP="00C30086">
      <w:pPr>
        <w:spacing w:after="0" w:line="240" w:lineRule="auto"/>
        <w:jc w:val="center"/>
        <w:rPr>
          <w:rFonts w:ascii="Cambria" w:hAnsi="Cambria" w:cs="Times New Roman"/>
          <w:sz w:val="28"/>
          <w:szCs w:val="28"/>
          <w:lang w:val="uk-UA"/>
        </w:rPr>
      </w:pPr>
    </w:p>
    <w:p w14:paraId="4313096C" w14:textId="68A3F02D" w:rsidR="00C363F9" w:rsidRPr="00C363F9" w:rsidRDefault="00C363F9" w:rsidP="00C363F9">
      <w:pPr>
        <w:pStyle w:val="a4"/>
        <w:numPr>
          <w:ilvl w:val="0"/>
          <w:numId w:val="7"/>
        </w:numPr>
        <w:spacing w:after="0" w:line="240" w:lineRule="auto"/>
        <w:ind w:left="0" w:firstLine="709"/>
        <w:jc w:val="both"/>
        <w:rPr>
          <w:rFonts w:ascii="Cambria" w:hAnsi="Cambria" w:cs="Times New Roman"/>
          <w:b/>
          <w:bCs/>
          <w:i/>
          <w:iCs/>
          <w:sz w:val="28"/>
          <w:szCs w:val="28"/>
          <w:lang w:val="uk-UA"/>
        </w:rPr>
      </w:pPr>
      <w:bookmarkStart w:id="0" w:name="_Hlk210414302"/>
      <w:r w:rsidRPr="00C363F9">
        <w:rPr>
          <w:rFonts w:ascii="Cambria" w:hAnsi="Cambria" w:cs="Times New Roman"/>
          <w:b/>
          <w:bCs/>
          <w:i/>
          <w:iCs/>
          <w:sz w:val="28"/>
          <w:szCs w:val="28"/>
          <w:lang w:val="uk-UA"/>
        </w:rPr>
        <w:t>Правові, економічні та політичні аспекти інтеграційного вибору.</w:t>
      </w:r>
    </w:p>
    <w:bookmarkEnd w:id="0"/>
    <w:p w14:paraId="2E1F78DE" w14:textId="391DB0C3" w:rsid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Інтеграція України до ЄС є доволі непростим питанням, адже вона відбувається досить тривалий період, хоча й зрозуміло, що цей процес не може проходити швидко. </w:t>
      </w:r>
    </w:p>
    <w:p w14:paraId="4E59A2CE" w14:textId="77777777" w:rsid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Не один рік в Україні точилися дискусії щодо її інтеграційного вибору, тобто вибору моделі інтеграції: європейської чи євразійської. </w:t>
      </w:r>
    </w:p>
    <w:p w14:paraId="06F98106" w14:textId="77777777" w:rsid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Революція гідності, анексія Криму та військові дії на сході України остаточно усунули полярність руху Захід – Схід і, нарешті, визначили наші інтеграційні пріоритети до європейського шляху розвитку. </w:t>
      </w:r>
    </w:p>
    <w:p w14:paraId="5F8B6CBD" w14:textId="77777777" w:rsidR="00C342B2" w:rsidRPr="00C363F9" w:rsidRDefault="00C30086" w:rsidP="00C30086">
      <w:pPr>
        <w:spacing w:after="0" w:line="240" w:lineRule="auto"/>
        <w:ind w:firstLine="709"/>
        <w:jc w:val="both"/>
        <w:rPr>
          <w:rFonts w:ascii="Cambria" w:hAnsi="Cambria" w:cs="Times New Roman"/>
          <w:i/>
          <w:iCs/>
          <w:sz w:val="28"/>
          <w:szCs w:val="28"/>
          <w:lang w:val="uk-UA"/>
        </w:rPr>
      </w:pPr>
      <w:r w:rsidRPr="00C342B2">
        <w:rPr>
          <w:rFonts w:ascii="Cambria" w:hAnsi="Cambria" w:cs="Times New Roman"/>
          <w:sz w:val="28"/>
          <w:szCs w:val="28"/>
          <w:lang w:val="uk-UA"/>
        </w:rPr>
        <w:t xml:space="preserve">Інтеграційний вибір будь-якої країни має щонайменше три аспекти: </w:t>
      </w:r>
      <w:r w:rsidRPr="00C363F9">
        <w:rPr>
          <w:rFonts w:ascii="Cambria" w:hAnsi="Cambria" w:cs="Times New Roman"/>
          <w:i/>
          <w:iCs/>
          <w:sz w:val="28"/>
          <w:szCs w:val="28"/>
          <w:lang w:val="uk-UA"/>
        </w:rPr>
        <w:t xml:space="preserve">правовий, економічний, політичний. </w:t>
      </w:r>
    </w:p>
    <w:p w14:paraId="1E96F3BE" w14:textId="175B107B" w:rsid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Для України ці три аспекти мають особливе значення. </w:t>
      </w:r>
    </w:p>
    <w:p w14:paraId="1B93EB45" w14:textId="77777777" w:rsidR="00C342B2" w:rsidRDefault="00C342B2" w:rsidP="00C30086">
      <w:pPr>
        <w:spacing w:after="0" w:line="240" w:lineRule="auto"/>
        <w:ind w:firstLine="709"/>
        <w:jc w:val="both"/>
        <w:rPr>
          <w:rFonts w:ascii="Cambria" w:hAnsi="Cambria" w:cs="Times New Roman"/>
          <w:sz w:val="28"/>
          <w:szCs w:val="28"/>
          <w:lang w:val="uk-UA"/>
        </w:rPr>
      </w:pPr>
    </w:p>
    <w:p w14:paraId="58FE9F59" w14:textId="02D77458" w:rsidR="00C30086" w:rsidRPr="00C342B2" w:rsidRDefault="00C30086" w:rsidP="00C342B2">
      <w:pPr>
        <w:pBdr>
          <w:top w:val="single" w:sz="4" w:space="1" w:color="auto"/>
          <w:left w:val="single" w:sz="4" w:space="4" w:color="auto"/>
          <w:bottom w:val="single" w:sz="4" w:space="1" w:color="auto"/>
          <w:right w:val="single" w:sz="4" w:space="4" w:color="auto"/>
        </w:pBd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Правовий аспект – це збереження суверенітету і державності, економічний – розвиток країни і добробут народу, політичний – це забезпечення цивілізаційного майбутнього Українського народу. </w:t>
      </w:r>
    </w:p>
    <w:p w14:paraId="0F0EE621" w14:textId="77777777" w:rsidR="00C342B2" w:rsidRDefault="00C342B2" w:rsidP="00C30086">
      <w:pPr>
        <w:spacing w:after="0" w:line="240" w:lineRule="auto"/>
        <w:ind w:firstLine="709"/>
        <w:jc w:val="both"/>
        <w:rPr>
          <w:rFonts w:ascii="Cambria" w:hAnsi="Cambria" w:cs="Times New Roman"/>
          <w:sz w:val="28"/>
          <w:szCs w:val="28"/>
          <w:lang w:val="uk-UA"/>
        </w:rPr>
      </w:pPr>
    </w:p>
    <w:p w14:paraId="7A5E1B38" w14:textId="77777777" w:rsid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На нашу думку, перш ніж розглядати переваги та недоліки інтеграції України в ЄС, варто проаналізувати думку експертів із цього питання та обізнаність нашого суспільства. </w:t>
      </w:r>
    </w:p>
    <w:p w14:paraId="02DA6135" w14:textId="7A471C72" w:rsidR="00C30086"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Згідно з</w:t>
      </w:r>
      <w:r w:rsidRPr="00C342B2">
        <w:rPr>
          <w:rFonts w:ascii="Cambria" w:hAnsi="Cambria" w:cs="Times New Roman"/>
          <w:sz w:val="28"/>
          <w:szCs w:val="28"/>
        </w:rPr>
        <w:t xml:space="preserve"> </w:t>
      </w:r>
      <w:r w:rsidRPr="00C342B2">
        <w:rPr>
          <w:rFonts w:ascii="Cambria" w:hAnsi="Cambria" w:cs="Times New Roman"/>
          <w:sz w:val="28"/>
          <w:szCs w:val="28"/>
          <w:lang w:val="uk-UA"/>
        </w:rPr>
        <w:t xml:space="preserve">результатами з’ясування експертної думки, можна визначити, що існують певні перешкоди на шляху поглиблення інтеграційних процесів між Україною та Європейським Союзом. </w:t>
      </w:r>
    </w:p>
    <w:p w14:paraId="151B2B5E" w14:textId="77777777" w:rsidR="00906761" w:rsidRPr="00C342B2" w:rsidRDefault="00906761" w:rsidP="00C30086">
      <w:pPr>
        <w:spacing w:after="0" w:line="240" w:lineRule="auto"/>
        <w:ind w:firstLine="709"/>
        <w:jc w:val="both"/>
        <w:rPr>
          <w:rFonts w:ascii="Cambria" w:hAnsi="Cambria" w:cs="Times New Roman"/>
          <w:sz w:val="28"/>
          <w:szCs w:val="28"/>
          <w:lang w:val="uk-UA"/>
        </w:rPr>
      </w:pPr>
    </w:p>
    <w:p w14:paraId="556D3321" w14:textId="77777777" w:rsidR="00C30086" w:rsidRP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По-перше, це низький рівень поінформованості громадян про ЄС, населення України має рівень поінформованості загалом незадовільний, водночас 36% опитаних констатують загалом задовільний рівень володіння українцями інформацією щодо ЄС. Достатній рівень поінформованості українців підтвердили тільки 3% опитаних, а 11% уважають, що українці зовсім не володіють інформацію про ЄС. </w:t>
      </w:r>
    </w:p>
    <w:p w14:paraId="52D044B2" w14:textId="77777777" w:rsidR="00C30086" w:rsidRP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По-друге, сумніви стосовного того, що євроінтеграція матиме вигоду для всього населення України. На думку 26% експертів, інтеграція України до ЄС є найбільш вигідною для країн – членів ЄС, які хочуть підвищити свій геополітичний вплив і використовувати ресурси України у своїх інтересах. </w:t>
      </w:r>
    </w:p>
    <w:p w14:paraId="5BEDC374" w14:textId="77777777" w:rsidR="00C30086" w:rsidRP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По-третє, проблемою виступають вимоги Європейського Союзу й узагалі можливе розірвання стосунків із Росією та країнами СНД. </w:t>
      </w:r>
    </w:p>
    <w:p w14:paraId="2855392C" w14:textId="77777777" w:rsidR="00C30086" w:rsidRP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По-четверте, у населення є занепокоєність щодо конкурентоспроможності українських товарів на європейському ринку </w:t>
      </w:r>
      <w:r w:rsidRPr="00C342B2">
        <w:rPr>
          <w:rFonts w:ascii="Cambria" w:hAnsi="Cambria" w:cs="Times New Roman"/>
          <w:sz w:val="28"/>
          <w:szCs w:val="28"/>
          <w:lang w:val="uk-UA"/>
        </w:rPr>
        <w:lastRenderedPageBreak/>
        <w:t>та еміграції робочої сили. Так, 24% експертів уважають, що внаслідок поглиблення співпраці з ЄС Україні загрожуватимуть висока конкуренція на європейському ринку продовольчих і промислових товарів, що залишить українську продукцію без шансів, та відтік значної маси</w:t>
      </w:r>
      <w:r w:rsidRPr="00C342B2">
        <w:rPr>
          <w:rFonts w:ascii="Cambria" w:hAnsi="Cambria" w:cs="Times New Roman"/>
          <w:sz w:val="28"/>
          <w:szCs w:val="28"/>
        </w:rPr>
        <w:t xml:space="preserve"> </w:t>
      </w:r>
      <w:r w:rsidRPr="00C342B2">
        <w:rPr>
          <w:rFonts w:ascii="Cambria" w:hAnsi="Cambria" w:cs="Times New Roman"/>
          <w:sz w:val="28"/>
          <w:szCs w:val="28"/>
          <w:lang w:val="uk-UA"/>
        </w:rPr>
        <w:t xml:space="preserve">кваліфікованих кадрів за кордон. </w:t>
      </w:r>
    </w:p>
    <w:p w14:paraId="5FB23301" w14:textId="77777777" w:rsidR="00C30086" w:rsidRPr="00C342B2" w:rsidRDefault="00C30086"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По-п’яте, сьогодні наріжний камінь розвитку відносин Україна – ЄС – це правосуддя, корупція та організована злочинність, і ці вимоги буде важко задовольнити Україні. </w:t>
      </w:r>
    </w:p>
    <w:p w14:paraId="51DEF030" w14:textId="70B14C95" w:rsidR="00C342B2" w:rsidRDefault="00C342B2" w:rsidP="00C342B2">
      <w:pPr>
        <w:spacing w:after="0" w:line="240" w:lineRule="auto"/>
        <w:jc w:val="both"/>
        <w:rPr>
          <w:rFonts w:ascii="Cambria" w:hAnsi="Cambria" w:cs="Times New Roman"/>
          <w:sz w:val="28"/>
          <w:szCs w:val="28"/>
          <w:lang w:val="uk-UA"/>
        </w:rPr>
      </w:pPr>
    </w:p>
    <w:p w14:paraId="5CD3E697" w14:textId="3A917BCC" w:rsidR="00C342B2" w:rsidRPr="00AF1E24" w:rsidRDefault="00C342B2" w:rsidP="00C342B2">
      <w:pPr>
        <w:spacing w:after="0" w:line="240" w:lineRule="auto"/>
        <w:jc w:val="center"/>
        <w:rPr>
          <w:rFonts w:ascii="Cambria" w:hAnsi="Cambria" w:cs="Times New Roman"/>
          <w:b/>
          <w:bCs/>
          <w:sz w:val="28"/>
          <w:szCs w:val="28"/>
          <w:lang w:val="uk-UA"/>
        </w:rPr>
      </w:pPr>
      <w:r w:rsidRPr="00AF1E24">
        <w:rPr>
          <w:rFonts w:ascii="Cambria" w:hAnsi="Cambria" w:cs="Times New Roman"/>
          <w:b/>
          <w:bCs/>
          <w:sz w:val="28"/>
          <w:szCs w:val="28"/>
          <w:lang w:val="uk-UA"/>
        </w:rPr>
        <w:t>ПЕРЕШКОДИ</w:t>
      </w:r>
      <w:r w:rsidR="00906761" w:rsidRPr="00AF1E24">
        <w:rPr>
          <w:rFonts w:ascii="Cambria" w:hAnsi="Cambria" w:cs="Times New Roman"/>
          <w:b/>
          <w:bCs/>
          <w:sz w:val="28"/>
          <w:szCs w:val="28"/>
          <w:lang w:val="uk-UA"/>
        </w:rPr>
        <w:t xml:space="preserve"> НА ШЛЯХУ ПОГЛИБЛЕННЯ ЄВРОІНТЕГРАЦІЙНИХ ПРОЦЕСІВ</w:t>
      </w:r>
    </w:p>
    <w:tbl>
      <w:tblPr>
        <w:tblStyle w:val="a3"/>
        <w:tblW w:w="9209" w:type="dxa"/>
        <w:tblLook w:val="04A0" w:firstRow="1" w:lastRow="0" w:firstColumn="1" w:lastColumn="0" w:noHBand="0" w:noVBand="1"/>
      </w:tblPr>
      <w:tblGrid>
        <w:gridCol w:w="1696"/>
        <w:gridCol w:w="7513"/>
      </w:tblGrid>
      <w:tr w:rsidR="00C342B2" w14:paraId="0C3840CE" w14:textId="77777777" w:rsidTr="00AF1E24">
        <w:tc>
          <w:tcPr>
            <w:tcW w:w="1696" w:type="dxa"/>
          </w:tcPr>
          <w:p w14:paraId="727427B1" w14:textId="1136BB40" w:rsidR="00C342B2" w:rsidRDefault="00906761" w:rsidP="00C342B2">
            <w:pPr>
              <w:jc w:val="center"/>
              <w:rPr>
                <w:rFonts w:ascii="Cambria" w:hAnsi="Cambria" w:cs="Times New Roman"/>
                <w:sz w:val="28"/>
                <w:szCs w:val="28"/>
                <w:lang w:val="uk-UA"/>
              </w:rPr>
            </w:pPr>
            <w:r>
              <w:rPr>
                <w:rFonts w:ascii="Cambria" w:hAnsi="Cambria" w:cs="Times New Roman"/>
                <w:sz w:val="28"/>
                <w:szCs w:val="28"/>
                <w:lang w:val="uk-UA"/>
              </w:rPr>
              <w:t>36%</w:t>
            </w:r>
          </w:p>
        </w:tc>
        <w:tc>
          <w:tcPr>
            <w:tcW w:w="7513" w:type="dxa"/>
          </w:tcPr>
          <w:p w14:paraId="6D23A9DC" w14:textId="57294D80" w:rsidR="00C342B2" w:rsidRDefault="008B1FD8" w:rsidP="00C342B2">
            <w:pPr>
              <w:jc w:val="center"/>
              <w:rPr>
                <w:rFonts w:ascii="Cambria" w:hAnsi="Cambria" w:cs="Times New Roman"/>
                <w:sz w:val="28"/>
                <w:szCs w:val="28"/>
                <w:lang w:val="uk-UA"/>
              </w:rPr>
            </w:pPr>
            <w:r>
              <w:rPr>
                <w:rFonts w:ascii="Cambria" w:hAnsi="Cambria" w:cs="Times New Roman"/>
                <w:sz w:val="28"/>
                <w:szCs w:val="28"/>
                <w:lang w:val="uk-UA"/>
              </w:rPr>
              <w:t>з</w:t>
            </w:r>
            <w:r w:rsidR="00906761">
              <w:rPr>
                <w:rFonts w:ascii="Cambria" w:hAnsi="Cambria" w:cs="Times New Roman"/>
                <w:sz w:val="28"/>
                <w:szCs w:val="28"/>
                <w:lang w:val="uk-UA"/>
              </w:rPr>
              <w:t xml:space="preserve">адовільний рівень </w:t>
            </w:r>
            <w:r w:rsidR="00906761" w:rsidRPr="00C342B2">
              <w:rPr>
                <w:rFonts w:ascii="Cambria" w:hAnsi="Cambria" w:cs="Times New Roman"/>
                <w:sz w:val="28"/>
                <w:szCs w:val="28"/>
                <w:lang w:val="uk-UA"/>
              </w:rPr>
              <w:t>володіння українцями інформацією щодо ЄС</w:t>
            </w:r>
          </w:p>
        </w:tc>
      </w:tr>
      <w:tr w:rsidR="00C342B2" w14:paraId="6D000A78" w14:textId="77777777" w:rsidTr="00AF1E24">
        <w:tc>
          <w:tcPr>
            <w:tcW w:w="1696" w:type="dxa"/>
          </w:tcPr>
          <w:p w14:paraId="651AD741" w14:textId="1AF090AE" w:rsidR="00C342B2" w:rsidRDefault="008B1FD8" w:rsidP="00C342B2">
            <w:pPr>
              <w:jc w:val="center"/>
              <w:rPr>
                <w:rFonts w:ascii="Cambria" w:hAnsi="Cambria" w:cs="Times New Roman"/>
                <w:sz w:val="28"/>
                <w:szCs w:val="28"/>
                <w:lang w:val="uk-UA"/>
              </w:rPr>
            </w:pPr>
            <w:r>
              <w:rPr>
                <w:rFonts w:ascii="Cambria" w:hAnsi="Cambria" w:cs="Times New Roman"/>
                <w:sz w:val="28"/>
                <w:szCs w:val="28"/>
                <w:lang w:val="uk-UA"/>
              </w:rPr>
              <w:t>3 %</w:t>
            </w:r>
          </w:p>
        </w:tc>
        <w:tc>
          <w:tcPr>
            <w:tcW w:w="7513" w:type="dxa"/>
          </w:tcPr>
          <w:p w14:paraId="51C0D033" w14:textId="179AB3A0" w:rsidR="00C342B2" w:rsidRDefault="008B1FD8" w:rsidP="00C342B2">
            <w:pPr>
              <w:jc w:val="center"/>
              <w:rPr>
                <w:rFonts w:ascii="Cambria" w:hAnsi="Cambria" w:cs="Times New Roman"/>
                <w:sz w:val="28"/>
                <w:szCs w:val="28"/>
                <w:lang w:val="uk-UA"/>
              </w:rPr>
            </w:pPr>
            <w:r>
              <w:rPr>
                <w:rFonts w:ascii="Cambria" w:hAnsi="Cambria" w:cs="Times New Roman"/>
                <w:sz w:val="28"/>
                <w:szCs w:val="28"/>
                <w:lang w:val="uk-UA"/>
              </w:rPr>
              <w:t>достатній рівень проінформованості</w:t>
            </w:r>
          </w:p>
        </w:tc>
      </w:tr>
      <w:tr w:rsidR="00C342B2" w14:paraId="166668A3" w14:textId="77777777" w:rsidTr="00AF1E24">
        <w:tc>
          <w:tcPr>
            <w:tcW w:w="1696" w:type="dxa"/>
          </w:tcPr>
          <w:p w14:paraId="359E848C" w14:textId="138CA8DF" w:rsidR="00C342B2" w:rsidRDefault="008B1FD8" w:rsidP="00C342B2">
            <w:pPr>
              <w:jc w:val="center"/>
              <w:rPr>
                <w:rFonts w:ascii="Cambria" w:hAnsi="Cambria" w:cs="Times New Roman"/>
                <w:sz w:val="28"/>
                <w:szCs w:val="28"/>
                <w:lang w:val="uk-UA"/>
              </w:rPr>
            </w:pPr>
            <w:r>
              <w:rPr>
                <w:rFonts w:ascii="Cambria" w:hAnsi="Cambria" w:cs="Times New Roman"/>
                <w:sz w:val="28"/>
                <w:szCs w:val="28"/>
                <w:lang w:val="uk-UA"/>
              </w:rPr>
              <w:t>11 %</w:t>
            </w:r>
          </w:p>
        </w:tc>
        <w:tc>
          <w:tcPr>
            <w:tcW w:w="7513" w:type="dxa"/>
          </w:tcPr>
          <w:p w14:paraId="1D4FB884" w14:textId="3574819A" w:rsidR="00C342B2" w:rsidRDefault="008B1FD8" w:rsidP="00C342B2">
            <w:pPr>
              <w:jc w:val="center"/>
              <w:rPr>
                <w:rFonts w:ascii="Cambria" w:hAnsi="Cambria" w:cs="Times New Roman"/>
                <w:sz w:val="28"/>
                <w:szCs w:val="28"/>
                <w:lang w:val="uk-UA"/>
              </w:rPr>
            </w:pPr>
            <w:r>
              <w:rPr>
                <w:rFonts w:ascii="Cambria" w:hAnsi="Cambria" w:cs="Times New Roman"/>
                <w:sz w:val="28"/>
                <w:szCs w:val="28"/>
                <w:lang w:val="uk-UA"/>
              </w:rPr>
              <w:t>не володіють інформацією про ЄС</w:t>
            </w:r>
          </w:p>
        </w:tc>
      </w:tr>
      <w:tr w:rsidR="00C342B2" w14:paraId="48617622" w14:textId="77777777" w:rsidTr="00AF1E24">
        <w:tc>
          <w:tcPr>
            <w:tcW w:w="1696" w:type="dxa"/>
          </w:tcPr>
          <w:p w14:paraId="71C8F008" w14:textId="1B54A799" w:rsidR="00C342B2" w:rsidRDefault="00FE0DC9" w:rsidP="00C342B2">
            <w:pPr>
              <w:jc w:val="center"/>
              <w:rPr>
                <w:rFonts w:ascii="Cambria" w:hAnsi="Cambria" w:cs="Times New Roman"/>
                <w:sz w:val="28"/>
                <w:szCs w:val="28"/>
                <w:lang w:val="uk-UA"/>
              </w:rPr>
            </w:pPr>
            <w:r>
              <w:rPr>
                <w:rFonts w:ascii="Cambria" w:hAnsi="Cambria" w:cs="Times New Roman"/>
                <w:sz w:val="28"/>
                <w:szCs w:val="28"/>
                <w:lang w:val="uk-UA"/>
              </w:rPr>
              <w:t>26 %</w:t>
            </w:r>
          </w:p>
        </w:tc>
        <w:tc>
          <w:tcPr>
            <w:tcW w:w="7513" w:type="dxa"/>
          </w:tcPr>
          <w:p w14:paraId="44AD534C" w14:textId="2DAA1796" w:rsidR="00C342B2" w:rsidRDefault="00FE0DC9" w:rsidP="00C342B2">
            <w:pPr>
              <w:jc w:val="center"/>
              <w:rPr>
                <w:rFonts w:ascii="Cambria" w:hAnsi="Cambria" w:cs="Times New Roman"/>
                <w:sz w:val="28"/>
                <w:szCs w:val="28"/>
                <w:lang w:val="uk-UA"/>
              </w:rPr>
            </w:pPr>
            <w:r w:rsidRPr="00C342B2">
              <w:rPr>
                <w:rFonts w:ascii="Cambria" w:hAnsi="Cambria" w:cs="Times New Roman"/>
                <w:sz w:val="28"/>
                <w:szCs w:val="28"/>
                <w:lang w:val="uk-UA"/>
              </w:rPr>
              <w:t>інтеграція України до ЄС є найбільш вигідною для країн – членів ЄС</w:t>
            </w:r>
          </w:p>
        </w:tc>
      </w:tr>
      <w:tr w:rsidR="00C342B2" w14:paraId="0FB0F9B4" w14:textId="77777777" w:rsidTr="00AF1E24">
        <w:tc>
          <w:tcPr>
            <w:tcW w:w="1696" w:type="dxa"/>
          </w:tcPr>
          <w:p w14:paraId="5DFDC2ED" w14:textId="77777777" w:rsidR="00C342B2" w:rsidRDefault="00C342B2" w:rsidP="00C342B2">
            <w:pPr>
              <w:jc w:val="center"/>
              <w:rPr>
                <w:rFonts w:ascii="Cambria" w:hAnsi="Cambria" w:cs="Times New Roman"/>
                <w:sz w:val="28"/>
                <w:szCs w:val="28"/>
                <w:lang w:val="uk-UA"/>
              </w:rPr>
            </w:pPr>
          </w:p>
        </w:tc>
        <w:tc>
          <w:tcPr>
            <w:tcW w:w="7513" w:type="dxa"/>
          </w:tcPr>
          <w:p w14:paraId="6B2BF05C" w14:textId="4D780A58" w:rsidR="00C342B2" w:rsidRDefault="00FE0DC9" w:rsidP="00C342B2">
            <w:pPr>
              <w:jc w:val="center"/>
              <w:rPr>
                <w:rFonts w:ascii="Cambria" w:hAnsi="Cambria" w:cs="Times New Roman"/>
                <w:sz w:val="28"/>
                <w:szCs w:val="28"/>
                <w:lang w:val="uk-UA"/>
              </w:rPr>
            </w:pPr>
            <w:r w:rsidRPr="00C342B2">
              <w:rPr>
                <w:rFonts w:ascii="Cambria" w:hAnsi="Cambria" w:cs="Times New Roman"/>
                <w:sz w:val="28"/>
                <w:szCs w:val="28"/>
                <w:lang w:val="uk-UA"/>
              </w:rPr>
              <w:t>вимоги Європейського Союзу й узагалі можливе розірвання стосунків із Росією та країнами СНД</w:t>
            </w:r>
          </w:p>
        </w:tc>
      </w:tr>
      <w:tr w:rsidR="00C342B2" w14:paraId="29D36BEE" w14:textId="77777777" w:rsidTr="00AF1E24">
        <w:tc>
          <w:tcPr>
            <w:tcW w:w="1696" w:type="dxa"/>
          </w:tcPr>
          <w:p w14:paraId="136820AC" w14:textId="77777777" w:rsidR="00C342B2" w:rsidRDefault="00C342B2" w:rsidP="00C342B2">
            <w:pPr>
              <w:jc w:val="center"/>
              <w:rPr>
                <w:rFonts w:ascii="Cambria" w:hAnsi="Cambria" w:cs="Times New Roman"/>
                <w:sz w:val="28"/>
                <w:szCs w:val="28"/>
                <w:lang w:val="uk-UA"/>
              </w:rPr>
            </w:pPr>
          </w:p>
        </w:tc>
        <w:tc>
          <w:tcPr>
            <w:tcW w:w="7513" w:type="dxa"/>
          </w:tcPr>
          <w:p w14:paraId="1CBA1564" w14:textId="0E6CF63A" w:rsidR="00C342B2" w:rsidRDefault="00FE0DC9" w:rsidP="00C342B2">
            <w:pPr>
              <w:jc w:val="center"/>
              <w:rPr>
                <w:rFonts w:ascii="Cambria" w:hAnsi="Cambria" w:cs="Times New Roman"/>
                <w:sz w:val="28"/>
                <w:szCs w:val="28"/>
                <w:lang w:val="uk-UA"/>
              </w:rPr>
            </w:pPr>
            <w:r w:rsidRPr="00C342B2">
              <w:rPr>
                <w:rFonts w:ascii="Cambria" w:hAnsi="Cambria" w:cs="Times New Roman"/>
                <w:sz w:val="28"/>
                <w:szCs w:val="28"/>
                <w:lang w:val="uk-UA"/>
              </w:rPr>
              <w:t>внаслідок поглиблення співпраці з ЄС Україні загрожуватимуть висока конкуренція на європейському ринку продовольчих і промислових товарів, що залишить українську продукцію без шансів</w:t>
            </w:r>
          </w:p>
        </w:tc>
      </w:tr>
      <w:tr w:rsidR="00C342B2" w14:paraId="2A222907" w14:textId="77777777" w:rsidTr="00AF1E24">
        <w:tc>
          <w:tcPr>
            <w:tcW w:w="1696" w:type="dxa"/>
          </w:tcPr>
          <w:p w14:paraId="2EE051B1" w14:textId="77777777" w:rsidR="00C342B2" w:rsidRDefault="00C342B2" w:rsidP="00C342B2">
            <w:pPr>
              <w:jc w:val="center"/>
              <w:rPr>
                <w:rFonts w:ascii="Cambria" w:hAnsi="Cambria" w:cs="Times New Roman"/>
                <w:sz w:val="28"/>
                <w:szCs w:val="28"/>
                <w:lang w:val="uk-UA"/>
              </w:rPr>
            </w:pPr>
          </w:p>
        </w:tc>
        <w:tc>
          <w:tcPr>
            <w:tcW w:w="7513" w:type="dxa"/>
          </w:tcPr>
          <w:p w14:paraId="6EAAD109" w14:textId="0CE56FCF" w:rsidR="00C342B2" w:rsidRDefault="00FE0DC9" w:rsidP="00C342B2">
            <w:pPr>
              <w:jc w:val="center"/>
              <w:rPr>
                <w:rFonts w:ascii="Cambria" w:hAnsi="Cambria" w:cs="Times New Roman"/>
                <w:sz w:val="28"/>
                <w:szCs w:val="28"/>
                <w:lang w:val="uk-UA"/>
              </w:rPr>
            </w:pPr>
            <w:r w:rsidRPr="00C342B2">
              <w:rPr>
                <w:rFonts w:ascii="Cambria" w:hAnsi="Cambria" w:cs="Times New Roman"/>
                <w:sz w:val="28"/>
                <w:szCs w:val="28"/>
                <w:lang w:val="uk-UA"/>
              </w:rPr>
              <w:t>відтік значної маси</w:t>
            </w:r>
            <w:r w:rsidRPr="00C342B2">
              <w:rPr>
                <w:rFonts w:ascii="Cambria" w:hAnsi="Cambria" w:cs="Times New Roman"/>
                <w:sz w:val="28"/>
                <w:szCs w:val="28"/>
              </w:rPr>
              <w:t xml:space="preserve"> </w:t>
            </w:r>
            <w:r w:rsidRPr="00C342B2">
              <w:rPr>
                <w:rFonts w:ascii="Cambria" w:hAnsi="Cambria" w:cs="Times New Roman"/>
                <w:sz w:val="28"/>
                <w:szCs w:val="28"/>
                <w:lang w:val="uk-UA"/>
              </w:rPr>
              <w:t>кваліфікованих кадрів за кордон</w:t>
            </w:r>
          </w:p>
        </w:tc>
      </w:tr>
      <w:tr w:rsidR="000C0509" w14:paraId="299C96BC" w14:textId="77777777" w:rsidTr="00AF1E24">
        <w:tc>
          <w:tcPr>
            <w:tcW w:w="1696" w:type="dxa"/>
          </w:tcPr>
          <w:p w14:paraId="54351DAC" w14:textId="77777777" w:rsidR="000C0509" w:rsidRDefault="000C0509" w:rsidP="00C342B2">
            <w:pPr>
              <w:jc w:val="center"/>
              <w:rPr>
                <w:rFonts w:ascii="Cambria" w:hAnsi="Cambria" w:cs="Times New Roman"/>
                <w:sz w:val="28"/>
                <w:szCs w:val="28"/>
                <w:lang w:val="uk-UA"/>
              </w:rPr>
            </w:pPr>
          </w:p>
        </w:tc>
        <w:tc>
          <w:tcPr>
            <w:tcW w:w="7513" w:type="dxa"/>
          </w:tcPr>
          <w:p w14:paraId="14C0201C" w14:textId="37733CC7" w:rsidR="000C0509" w:rsidRPr="00C342B2" w:rsidRDefault="000C0509" w:rsidP="00C342B2">
            <w:pPr>
              <w:jc w:val="center"/>
              <w:rPr>
                <w:rFonts w:ascii="Cambria" w:hAnsi="Cambria" w:cs="Times New Roman"/>
                <w:sz w:val="28"/>
                <w:szCs w:val="28"/>
                <w:lang w:val="uk-UA"/>
              </w:rPr>
            </w:pPr>
            <w:r>
              <w:rPr>
                <w:rFonts w:ascii="Cambria" w:hAnsi="Cambria" w:cs="Times New Roman"/>
                <w:sz w:val="28"/>
                <w:szCs w:val="28"/>
                <w:lang w:val="uk-UA"/>
              </w:rPr>
              <w:t>брак коштів і хабарництво</w:t>
            </w:r>
          </w:p>
        </w:tc>
      </w:tr>
    </w:tbl>
    <w:p w14:paraId="0577627F" w14:textId="5AACDE1D" w:rsidR="00C342B2" w:rsidRDefault="00C342B2" w:rsidP="00C342B2">
      <w:pPr>
        <w:spacing w:after="0" w:line="240" w:lineRule="auto"/>
        <w:jc w:val="center"/>
        <w:rPr>
          <w:rFonts w:ascii="Cambria" w:hAnsi="Cambria" w:cs="Times New Roman"/>
          <w:sz w:val="28"/>
          <w:szCs w:val="28"/>
          <w:lang w:val="uk-UA"/>
        </w:rPr>
      </w:pPr>
    </w:p>
    <w:p w14:paraId="567EA93F" w14:textId="77777777" w:rsidR="000C0509"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Дослідження показує, що для 30% мешканців України повне членство у ЄС бачиться найкращою моделлю для зближення. Головними перешкодами називають брак коштів і хабарництво. </w:t>
      </w:r>
    </w:p>
    <w:p w14:paraId="08B3A94C" w14:textId="492CCB43"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Наступна відповідь за популярністю щодо моделі зближення з ЄС – вільна торгівля без жодних обмежень (21%). </w:t>
      </w:r>
    </w:p>
    <w:p w14:paraId="584E81BE"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І третя відповідь – влаштовує нинішній ступінь відносин (20%), а 14% уважають, що треба відмовитися від зближення з ЄС. </w:t>
      </w:r>
    </w:p>
    <w:p w14:paraId="4273C7B5" w14:textId="77777777" w:rsidR="00E742F5"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При цьому якщо на Заході 54% бажають повного членства у ЄС, то на Сході України лише 13% бажають повного членства, а чверть опитаних на сході проти такого членства. </w:t>
      </w:r>
    </w:p>
    <w:p w14:paraId="2930D570" w14:textId="61061C2D"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Крім того, 40% українців уважають, що євроінтеграція буде успішною, якщо вони бачитимуть краще обслуговування в лікарнях, комфортний громадський транспорт, соціальну інфраструктуру. </w:t>
      </w:r>
    </w:p>
    <w:p w14:paraId="3A8962DF"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Також, згідно з опитуванням, головними перешкодами для євроінтеграції в областях українці вважають брак коштів і хабарництво місцевих чиновників (по 37%). </w:t>
      </w:r>
    </w:p>
    <w:p w14:paraId="094E776D" w14:textId="77777777" w:rsidR="00E742F5" w:rsidRDefault="00E742F5" w:rsidP="00C30086">
      <w:pPr>
        <w:spacing w:after="0" w:line="240" w:lineRule="auto"/>
        <w:ind w:firstLine="709"/>
        <w:jc w:val="both"/>
        <w:rPr>
          <w:rFonts w:ascii="Cambria" w:hAnsi="Cambria" w:cs="Times New Roman"/>
          <w:sz w:val="28"/>
          <w:szCs w:val="28"/>
          <w:lang w:val="uk-UA"/>
        </w:rPr>
      </w:pPr>
    </w:p>
    <w:p w14:paraId="4A4E543A" w14:textId="77777777" w:rsidR="00E742F5" w:rsidRDefault="00E742F5" w:rsidP="00C30086">
      <w:pPr>
        <w:spacing w:after="0" w:line="240" w:lineRule="auto"/>
        <w:ind w:firstLine="709"/>
        <w:jc w:val="both"/>
        <w:rPr>
          <w:rFonts w:ascii="Cambria" w:hAnsi="Cambria" w:cs="Times New Roman"/>
          <w:sz w:val="28"/>
          <w:szCs w:val="28"/>
          <w:lang w:val="uk-UA"/>
        </w:rPr>
      </w:pPr>
    </w:p>
    <w:p w14:paraId="7E477830" w14:textId="77777777" w:rsidR="00E742F5" w:rsidRDefault="00E742F5" w:rsidP="00C30086">
      <w:pPr>
        <w:spacing w:after="0" w:line="240" w:lineRule="auto"/>
        <w:ind w:firstLine="709"/>
        <w:jc w:val="both"/>
        <w:rPr>
          <w:rFonts w:ascii="Cambria" w:hAnsi="Cambria" w:cs="Times New Roman"/>
          <w:sz w:val="28"/>
          <w:szCs w:val="28"/>
          <w:lang w:val="uk-UA"/>
        </w:rPr>
      </w:pPr>
    </w:p>
    <w:p w14:paraId="56E24A2E" w14:textId="3A021E0C"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Співробітництво України з ЄС сприятиме наближенню соціальних умов України до високих європейських стандартів, підвищенню рівня життя і добробуту населення. </w:t>
      </w:r>
    </w:p>
    <w:p w14:paraId="6184A837"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У культурно-цивілізаційному аспекті євроінтеграція – це шлях до активізації взаємообміну між українською і західноєвропейськими культурами, одночасне становлення України й як інтегрованої частини глобального суспільства, й як національної держави. </w:t>
      </w:r>
    </w:p>
    <w:p w14:paraId="72C2DA46"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Членство в ЄС гарантує зміцнення</w:t>
      </w:r>
      <w:r w:rsidRPr="00C342B2">
        <w:rPr>
          <w:rFonts w:ascii="Cambria" w:hAnsi="Cambria" w:cs="Times New Roman"/>
          <w:sz w:val="28"/>
          <w:szCs w:val="28"/>
        </w:rPr>
        <w:t xml:space="preserve"> </w:t>
      </w:r>
      <w:r w:rsidRPr="00C342B2">
        <w:rPr>
          <w:rFonts w:ascii="Cambria" w:hAnsi="Cambria" w:cs="Times New Roman"/>
          <w:sz w:val="28"/>
          <w:szCs w:val="28"/>
          <w:lang w:val="uk-UA"/>
        </w:rPr>
        <w:t xml:space="preserve">національної безпеки України, захист її від агресії та територіальних претензій. </w:t>
      </w:r>
    </w:p>
    <w:p w14:paraId="07595793"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Сьогодні основними напрямами співробітництва між Україною та ЄС є енергетика, інвестиції, торгівля. </w:t>
      </w:r>
    </w:p>
    <w:p w14:paraId="641FD72F" w14:textId="77777777" w:rsidR="00E742F5" w:rsidRDefault="00E742F5" w:rsidP="00C30086">
      <w:pPr>
        <w:spacing w:after="0" w:line="240" w:lineRule="auto"/>
        <w:ind w:firstLine="709"/>
        <w:jc w:val="both"/>
        <w:rPr>
          <w:rFonts w:ascii="Cambria" w:hAnsi="Cambria" w:cs="Times New Roman"/>
          <w:sz w:val="28"/>
          <w:szCs w:val="28"/>
          <w:lang w:val="uk-UA"/>
        </w:rPr>
      </w:pPr>
    </w:p>
    <w:p w14:paraId="1D6963C9" w14:textId="40059F8A" w:rsidR="00C363F9" w:rsidRPr="00C363F9" w:rsidRDefault="00C363F9" w:rsidP="00C363F9">
      <w:pPr>
        <w:pStyle w:val="a4"/>
        <w:numPr>
          <w:ilvl w:val="0"/>
          <w:numId w:val="7"/>
        </w:numPr>
        <w:spacing w:after="0" w:line="240" w:lineRule="auto"/>
        <w:jc w:val="both"/>
        <w:rPr>
          <w:rFonts w:ascii="Cambria" w:hAnsi="Cambria" w:cs="Times New Roman"/>
          <w:b/>
          <w:bCs/>
          <w:i/>
          <w:iCs/>
          <w:sz w:val="28"/>
          <w:szCs w:val="28"/>
          <w:lang w:val="uk-UA"/>
        </w:rPr>
      </w:pPr>
      <w:bookmarkStart w:id="1" w:name="_Hlk210414334"/>
      <w:r w:rsidRPr="00C363F9">
        <w:rPr>
          <w:rFonts w:ascii="Cambria" w:hAnsi="Cambria" w:cs="Times New Roman"/>
          <w:b/>
          <w:bCs/>
          <w:i/>
          <w:iCs/>
          <w:sz w:val="28"/>
          <w:szCs w:val="28"/>
          <w:lang w:val="uk-UA"/>
        </w:rPr>
        <w:t>Програми допомоги ЄС Україні на шляху до Євроінтеграції.</w:t>
      </w:r>
    </w:p>
    <w:bookmarkEnd w:id="1"/>
    <w:p w14:paraId="40051EB7" w14:textId="16DAD4BB"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Із погляду співробітництва між Україною та ЄС варто розглянути допомогу ЄС Україні. Європейський Союз є найбільшим донором України. </w:t>
      </w:r>
    </w:p>
    <w:p w14:paraId="6E8C13B3" w14:textId="77777777" w:rsidR="00E742F5" w:rsidRDefault="00E742F5" w:rsidP="00C30086">
      <w:pPr>
        <w:spacing w:after="0" w:line="240" w:lineRule="auto"/>
        <w:ind w:firstLine="709"/>
        <w:jc w:val="both"/>
        <w:rPr>
          <w:rFonts w:ascii="Cambria" w:hAnsi="Cambria" w:cs="Times New Roman"/>
          <w:sz w:val="28"/>
          <w:szCs w:val="28"/>
          <w:lang w:val="uk-UA"/>
        </w:rPr>
      </w:pPr>
    </w:p>
    <w:p w14:paraId="5F718129" w14:textId="348F0A54"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Обсяг наданої ним безвідплатної технічної та фінансової підтримки лише з 1991 р. перевищив 4 млрд. євро і постійно зростає. </w:t>
      </w:r>
    </w:p>
    <w:p w14:paraId="1AC61112" w14:textId="77777777" w:rsidR="00EC60CD" w:rsidRDefault="00B475F1" w:rsidP="00EC60CD">
      <w:pPr>
        <w:spacing w:after="0" w:line="240" w:lineRule="auto"/>
        <w:ind w:firstLine="709"/>
        <w:jc w:val="both"/>
        <w:rPr>
          <w:rFonts w:ascii="Cambria" w:hAnsi="Cambria" w:cs="Times New Roman"/>
          <w:sz w:val="28"/>
          <w:szCs w:val="28"/>
          <w:lang w:val="uk-UA"/>
        </w:rPr>
      </w:pPr>
      <w:r w:rsidRPr="00EC60CD">
        <w:rPr>
          <w:rFonts w:ascii="Cambria" w:hAnsi="Cambria" w:cs="Times New Roman"/>
          <w:sz w:val="28"/>
          <w:szCs w:val="28"/>
          <w:lang w:val="uk-UA"/>
        </w:rPr>
        <w:t xml:space="preserve">Підтримка Євросоюзу стосується надзвичайно широкого кола сфер: </w:t>
      </w:r>
    </w:p>
    <w:p w14:paraId="4534975B" w14:textId="192E2820" w:rsidR="00E742F5" w:rsidRPr="00EC60CD" w:rsidRDefault="00B475F1" w:rsidP="00EC60CD">
      <w:pPr>
        <w:pStyle w:val="a4"/>
        <w:numPr>
          <w:ilvl w:val="0"/>
          <w:numId w:val="3"/>
        </w:numPr>
        <w:spacing w:after="0" w:line="240" w:lineRule="auto"/>
        <w:jc w:val="both"/>
        <w:rPr>
          <w:rFonts w:ascii="Cambria" w:hAnsi="Cambria" w:cs="Times New Roman"/>
          <w:sz w:val="28"/>
          <w:szCs w:val="28"/>
          <w:lang w:val="uk-UA"/>
        </w:rPr>
      </w:pPr>
      <w:r w:rsidRPr="00EC60CD">
        <w:rPr>
          <w:rFonts w:ascii="Cambria" w:hAnsi="Cambria" w:cs="Times New Roman"/>
          <w:sz w:val="28"/>
          <w:szCs w:val="28"/>
          <w:lang w:val="uk-UA"/>
        </w:rPr>
        <w:t xml:space="preserve">макрофінансової стабільності, </w:t>
      </w:r>
    </w:p>
    <w:p w14:paraId="34410CA2" w14:textId="77777777" w:rsidR="00E742F5" w:rsidRPr="00687286" w:rsidRDefault="00B475F1" w:rsidP="00687286">
      <w:pPr>
        <w:pStyle w:val="a4"/>
        <w:numPr>
          <w:ilvl w:val="0"/>
          <w:numId w:val="3"/>
        </w:numPr>
        <w:spacing w:after="0" w:line="240" w:lineRule="auto"/>
        <w:jc w:val="both"/>
        <w:rPr>
          <w:rFonts w:ascii="Cambria" w:hAnsi="Cambria" w:cs="Times New Roman"/>
          <w:sz w:val="28"/>
          <w:szCs w:val="28"/>
          <w:lang w:val="uk-UA"/>
        </w:rPr>
      </w:pPr>
      <w:r w:rsidRPr="00687286">
        <w:rPr>
          <w:rFonts w:ascii="Cambria" w:hAnsi="Cambria" w:cs="Times New Roman"/>
          <w:sz w:val="28"/>
          <w:szCs w:val="28"/>
          <w:lang w:val="uk-UA"/>
        </w:rPr>
        <w:t xml:space="preserve">державного управління, </w:t>
      </w:r>
    </w:p>
    <w:p w14:paraId="7B2745E9" w14:textId="77777777" w:rsidR="00E742F5" w:rsidRPr="00687286" w:rsidRDefault="00B475F1" w:rsidP="00687286">
      <w:pPr>
        <w:pStyle w:val="a4"/>
        <w:numPr>
          <w:ilvl w:val="0"/>
          <w:numId w:val="3"/>
        </w:numPr>
        <w:spacing w:after="0" w:line="240" w:lineRule="auto"/>
        <w:jc w:val="both"/>
        <w:rPr>
          <w:rFonts w:ascii="Cambria" w:hAnsi="Cambria" w:cs="Times New Roman"/>
          <w:sz w:val="28"/>
          <w:szCs w:val="28"/>
          <w:lang w:val="uk-UA"/>
        </w:rPr>
      </w:pPr>
      <w:r w:rsidRPr="00687286">
        <w:rPr>
          <w:rFonts w:ascii="Cambria" w:hAnsi="Cambria" w:cs="Times New Roman"/>
          <w:sz w:val="28"/>
          <w:szCs w:val="28"/>
          <w:lang w:val="uk-UA"/>
        </w:rPr>
        <w:t xml:space="preserve">розвитку громадянського суспільства, </w:t>
      </w:r>
    </w:p>
    <w:p w14:paraId="40CA402A" w14:textId="77777777" w:rsidR="00E742F5" w:rsidRPr="00687286" w:rsidRDefault="00B475F1" w:rsidP="00687286">
      <w:pPr>
        <w:pStyle w:val="a4"/>
        <w:numPr>
          <w:ilvl w:val="0"/>
          <w:numId w:val="3"/>
        </w:numPr>
        <w:spacing w:after="0" w:line="240" w:lineRule="auto"/>
        <w:jc w:val="both"/>
        <w:rPr>
          <w:rFonts w:ascii="Cambria" w:hAnsi="Cambria" w:cs="Times New Roman"/>
          <w:sz w:val="28"/>
          <w:szCs w:val="28"/>
          <w:lang w:val="uk-UA"/>
        </w:rPr>
      </w:pPr>
      <w:r w:rsidRPr="00687286">
        <w:rPr>
          <w:rFonts w:ascii="Cambria" w:hAnsi="Cambria" w:cs="Times New Roman"/>
          <w:sz w:val="28"/>
          <w:szCs w:val="28"/>
          <w:lang w:val="uk-UA"/>
        </w:rPr>
        <w:t xml:space="preserve">економіки, енергетики, </w:t>
      </w:r>
    </w:p>
    <w:p w14:paraId="3AB4490E" w14:textId="77777777" w:rsidR="00E742F5" w:rsidRPr="00687286" w:rsidRDefault="00B475F1" w:rsidP="00687286">
      <w:pPr>
        <w:pStyle w:val="a4"/>
        <w:numPr>
          <w:ilvl w:val="0"/>
          <w:numId w:val="3"/>
        </w:numPr>
        <w:spacing w:after="0" w:line="240" w:lineRule="auto"/>
        <w:jc w:val="both"/>
        <w:rPr>
          <w:rFonts w:ascii="Cambria" w:hAnsi="Cambria" w:cs="Times New Roman"/>
          <w:sz w:val="28"/>
          <w:szCs w:val="28"/>
          <w:lang w:val="uk-UA"/>
        </w:rPr>
      </w:pPr>
      <w:r w:rsidRPr="00687286">
        <w:rPr>
          <w:rFonts w:ascii="Cambria" w:hAnsi="Cambria" w:cs="Times New Roman"/>
          <w:sz w:val="28"/>
          <w:szCs w:val="28"/>
          <w:lang w:val="uk-UA"/>
        </w:rPr>
        <w:t xml:space="preserve">захисту довкілля, </w:t>
      </w:r>
    </w:p>
    <w:p w14:paraId="4CF193D1" w14:textId="77777777" w:rsidR="00E742F5" w:rsidRPr="00687286" w:rsidRDefault="00B475F1" w:rsidP="00687286">
      <w:pPr>
        <w:pStyle w:val="a4"/>
        <w:numPr>
          <w:ilvl w:val="0"/>
          <w:numId w:val="3"/>
        </w:numPr>
        <w:spacing w:after="0" w:line="240" w:lineRule="auto"/>
        <w:jc w:val="both"/>
        <w:rPr>
          <w:rFonts w:ascii="Cambria" w:hAnsi="Cambria" w:cs="Times New Roman"/>
          <w:sz w:val="28"/>
          <w:szCs w:val="28"/>
          <w:lang w:val="uk-UA"/>
        </w:rPr>
      </w:pPr>
      <w:r w:rsidRPr="00687286">
        <w:rPr>
          <w:rFonts w:ascii="Cambria" w:hAnsi="Cambria" w:cs="Times New Roman"/>
          <w:sz w:val="28"/>
          <w:szCs w:val="28"/>
          <w:lang w:val="uk-UA"/>
        </w:rPr>
        <w:t xml:space="preserve">регіонального розвитку, </w:t>
      </w:r>
    </w:p>
    <w:p w14:paraId="3E60A9FF" w14:textId="3163639F" w:rsidR="00166A9F" w:rsidRPr="00687286" w:rsidRDefault="00B475F1" w:rsidP="00687286">
      <w:pPr>
        <w:pStyle w:val="a4"/>
        <w:numPr>
          <w:ilvl w:val="0"/>
          <w:numId w:val="3"/>
        </w:numPr>
        <w:spacing w:after="0" w:line="240" w:lineRule="auto"/>
        <w:jc w:val="both"/>
        <w:rPr>
          <w:rFonts w:ascii="Cambria" w:hAnsi="Cambria" w:cs="Times New Roman"/>
          <w:sz w:val="28"/>
          <w:szCs w:val="28"/>
          <w:lang w:val="uk-UA"/>
        </w:rPr>
      </w:pPr>
      <w:r w:rsidRPr="00687286">
        <w:rPr>
          <w:rFonts w:ascii="Cambria" w:hAnsi="Cambria" w:cs="Times New Roman"/>
          <w:sz w:val="28"/>
          <w:szCs w:val="28"/>
          <w:lang w:val="uk-UA"/>
        </w:rPr>
        <w:t xml:space="preserve">освіти тощо. </w:t>
      </w:r>
    </w:p>
    <w:p w14:paraId="795DD447" w14:textId="77777777" w:rsidR="00E742F5" w:rsidRDefault="00E742F5" w:rsidP="00C30086">
      <w:pPr>
        <w:spacing w:after="0" w:line="240" w:lineRule="auto"/>
        <w:ind w:firstLine="709"/>
        <w:jc w:val="both"/>
        <w:rPr>
          <w:rFonts w:ascii="Cambria" w:hAnsi="Cambria" w:cs="Times New Roman"/>
          <w:sz w:val="28"/>
          <w:szCs w:val="28"/>
          <w:lang w:val="uk-UA"/>
        </w:rPr>
      </w:pPr>
    </w:p>
    <w:p w14:paraId="7BEF9AEF" w14:textId="6AC09695"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ЄС різко збільшив Україні допомогу з 2014 р., враховуючи складну економічну ситуацію та військові дії на сході держави. </w:t>
      </w:r>
    </w:p>
    <w:p w14:paraId="51E1750C"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Загальний пакет допомоги на 2014–2020 рр. становить близько 11 млрд. євро. </w:t>
      </w:r>
    </w:p>
    <w:p w14:paraId="284A94D8"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Завдяки наданої технічної та фінансової допомоги Україна з 2014 р. розпочала реалізацію амбіційної програми реформ, метою якої є стабілізація економіки та поліпшення рівня життя громадян. </w:t>
      </w:r>
    </w:p>
    <w:p w14:paraId="49BA4D25"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Одночасно з ЄС допомогу Україні надають інші міжнародні організації та країни. </w:t>
      </w:r>
    </w:p>
    <w:p w14:paraId="0DBB5822"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Світовий банк відіграє важливу роль у стимулюванні реформ та наданні консультаційної підтримки. </w:t>
      </w:r>
    </w:p>
    <w:p w14:paraId="5470D237"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МВФ часто виступає як каталізатор нагальних реформ, які сприяють макроекономічній та фінансовій стабільності. </w:t>
      </w:r>
    </w:p>
    <w:p w14:paraId="576BB7A5"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Найбільшими країнами-донорами є США, які надали технічну допомогу в розмірі 450 млн. дол. у 2017 р., Канада, Німеччина, Японія, Швейцарія та Швеція. </w:t>
      </w:r>
    </w:p>
    <w:p w14:paraId="2541304A"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lastRenderedPageBreak/>
        <w:t>Фінансування надається переважно для проектів технічної допомоги. Основними напрямами технічної</w:t>
      </w:r>
      <w:r w:rsidRPr="00C342B2">
        <w:rPr>
          <w:rFonts w:ascii="Cambria" w:hAnsi="Cambria" w:cs="Times New Roman"/>
          <w:sz w:val="28"/>
          <w:szCs w:val="28"/>
        </w:rPr>
        <w:t xml:space="preserve"> </w:t>
      </w:r>
      <w:r w:rsidRPr="00C342B2">
        <w:rPr>
          <w:rFonts w:ascii="Cambria" w:hAnsi="Cambria" w:cs="Times New Roman"/>
          <w:sz w:val="28"/>
          <w:szCs w:val="28"/>
          <w:lang w:val="uk-UA"/>
        </w:rPr>
        <w:t xml:space="preserve">допомоги є ядерна безпека, національна безпека та оборона, врядування та громадянське суспільство, регіональний розвиток. </w:t>
      </w:r>
    </w:p>
    <w:p w14:paraId="2CD23C27"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До пріоритетних реформ належить протидія корупції, реформування судової системи, конституційна та виборча реформи, поліпшення бізнес-клімату та підвищення рівня енергоефективності, а також реформа державного управління, у тому числі заходи щодо централізації. </w:t>
      </w:r>
    </w:p>
    <w:p w14:paraId="622549F5" w14:textId="77777777" w:rsidR="00166A9F" w:rsidRPr="00C342B2"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ЄС виділив пакет у розмірі 12,8 млрд. євро з метою забезпечення підтримки реформ за умови щодо забезпечення Україною безперервного прогресу. </w:t>
      </w:r>
    </w:p>
    <w:p w14:paraId="7B59B8DE" w14:textId="77777777" w:rsidR="00613D2D"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Для ефективного використання наданої донорами підтримки уряду та донорам потрібно ретельно пропрацювати над питанням узгодження напрямів міжнародної допомоги, зокрема допомоги ЄС, та пріоритетних напрямів розвитку України. </w:t>
      </w:r>
    </w:p>
    <w:p w14:paraId="350AA3A3" w14:textId="77777777" w:rsidR="00613D2D"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Варто також зазначити, що Україні потрібно не лише збільшувати прозорість даних і надавати статистику щодо наданої допомоги, а й ретельніше відстежувати ефективність цієї допомоги. </w:t>
      </w:r>
    </w:p>
    <w:p w14:paraId="1E1F41E3" w14:textId="77777777" w:rsidR="00613D2D"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Це дасть змогу збільшити вплив отриманої допомоги на економічний розвиток країни. Завдяки проведеному аналізу виявлено, що сьогодні, незважаючи на безпрецедентну допомогу Європейського Союзу в здійсненні реформ, покликаних сприяти економічному зростанню та</w:t>
      </w:r>
      <w:r w:rsidRPr="00C342B2">
        <w:rPr>
          <w:rFonts w:ascii="Cambria" w:hAnsi="Cambria" w:cs="Times New Roman"/>
          <w:sz w:val="28"/>
          <w:szCs w:val="28"/>
        </w:rPr>
        <w:t xml:space="preserve"> </w:t>
      </w:r>
      <w:r w:rsidRPr="00C342B2">
        <w:rPr>
          <w:rFonts w:ascii="Cambria" w:hAnsi="Cambria" w:cs="Times New Roman"/>
          <w:sz w:val="28"/>
          <w:szCs w:val="28"/>
          <w:lang w:val="uk-UA"/>
        </w:rPr>
        <w:t xml:space="preserve">підвищенню добробуту населення, існують певні перешкоди різного характеру на шляху України до ЄС і вони є досить значними, хоча й не переборними. </w:t>
      </w:r>
    </w:p>
    <w:p w14:paraId="26838910" w14:textId="77777777" w:rsidR="00613D2D" w:rsidRDefault="00B475F1" w:rsidP="00C30086">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 xml:space="preserve">Отже, необхідно виділити внутрішні чинники, що гальмують рух України до ЄС: </w:t>
      </w:r>
    </w:p>
    <w:p w14:paraId="36640B91" w14:textId="77777777" w:rsid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 xml:space="preserve">по-перше, це повільність у проведенні економічних реформ, відсутність помітних результатів внутрішніх соціально-економічних трансформацій; </w:t>
      </w:r>
    </w:p>
    <w:p w14:paraId="5E17A357" w14:textId="77777777" w:rsid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 xml:space="preserve">по-друге, тривогу викликає рівень корупції та економічної злочинності; </w:t>
      </w:r>
    </w:p>
    <w:p w14:paraId="3D84A8EC" w14:textId="77777777" w:rsid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 xml:space="preserve">по-третє, відсутність консенсусу стосовно європейського вибору серед населення; </w:t>
      </w:r>
    </w:p>
    <w:p w14:paraId="15AA7550" w14:textId="77777777" w:rsid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по-четверте, явний дефіцит досвідчених фахівців з євроінтеграції, насамперед серед політичної еліти і державних службовців України;</w:t>
      </w:r>
    </w:p>
    <w:p w14:paraId="42147C74" w14:textId="77777777" w:rsid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 xml:space="preserve">по-п’яте, величезний розрив у рівнях економічного розвитку України і європейських країн; </w:t>
      </w:r>
    </w:p>
    <w:p w14:paraId="777D1AC2" w14:textId="77777777" w:rsid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 xml:space="preserve">по-шосте, значна відмінність рівня життя населення; </w:t>
      </w:r>
    </w:p>
    <w:p w14:paraId="6EE75284" w14:textId="26F74775" w:rsidR="00B475F1" w:rsidRPr="00613D2D" w:rsidRDefault="00B475F1" w:rsidP="00613D2D">
      <w:pPr>
        <w:pStyle w:val="a4"/>
        <w:numPr>
          <w:ilvl w:val="0"/>
          <w:numId w:val="4"/>
        </w:numPr>
        <w:spacing w:after="0" w:line="240" w:lineRule="auto"/>
        <w:jc w:val="both"/>
        <w:rPr>
          <w:rFonts w:ascii="Cambria" w:hAnsi="Cambria" w:cs="Times New Roman"/>
          <w:sz w:val="28"/>
          <w:szCs w:val="28"/>
          <w:lang w:val="uk-UA"/>
        </w:rPr>
      </w:pPr>
      <w:r w:rsidRPr="00613D2D">
        <w:rPr>
          <w:rFonts w:ascii="Cambria" w:hAnsi="Cambria" w:cs="Times New Roman"/>
          <w:sz w:val="28"/>
          <w:szCs w:val="28"/>
          <w:lang w:val="uk-UA"/>
        </w:rPr>
        <w:t>по-сьоме, невідповідність правових систем.</w:t>
      </w:r>
    </w:p>
    <w:p w14:paraId="4A088A3C" w14:textId="77777777" w:rsidR="00613D2D" w:rsidRDefault="00613D2D" w:rsidP="00166A9F">
      <w:pPr>
        <w:spacing w:after="0" w:line="240" w:lineRule="auto"/>
        <w:jc w:val="both"/>
        <w:rPr>
          <w:rFonts w:ascii="Cambria" w:hAnsi="Cambria" w:cs="Times New Roman"/>
          <w:sz w:val="28"/>
          <w:szCs w:val="28"/>
          <w:lang w:val="uk-UA"/>
        </w:rPr>
      </w:pPr>
    </w:p>
    <w:p w14:paraId="7004FBE3" w14:textId="14F7A1D8" w:rsidR="00613D2D" w:rsidRDefault="00166A9F" w:rsidP="00613D2D">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lastRenderedPageBreak/>
        <w:t xml:space="preserve">Оскільки євроінтеграція має як переваги, так і ризики, Україні слід акцентувати увагу на використанні саме позитивних моментів євроінтеграції. </w:t>
      </w:r>
    </w:p>
    <w:p w14:paraId="7B08A079" w14:textId="15014D54" w:rsidR="00613D2D" w:rsidRDefault="00613D2D" w:rsidP="00613D2D">
      <w:pPr>
        <w:spacing w:after="0" w:line="240" w:lineRule="auto"/>
        <w:jc w:val="both"/>
        <w:rPr>
          <w:rFonts w:ascii="Cambria" w:hAnsi="Cambria" w:cs="Times New Roman"/>
          <w:sz w:val="28"/>
          <w:szCs w:val="28"/>
          <w:lang w:val="uk-UA"/>
        </w:rPr>
      </w:pPr>
    </w:p>
    <w:p w14:paraId="6E003D4B" w14:textId="1439DE02" w:rsidR="00613D2D" w:rsidRPr="00D31F34" w:rsidRDefault="00613D2D" w:rsidP="00613D2D">
      <w:pPr>
        <w:spacing w:after="0" w:line="240" w:lineRule="auto"/>
        <w:jc w:val="center"/>
        <w:rPr>
          <w:rFonts w:ascii="Cambria" w:hAnsi="Cambria" w:cs="Times New Roman"/>
          <w:b/>
          <w:bCs/>
          <w:sz w:val="28"/>
          <w:szCs w:val="28"/>
          <w:lang w:val="ru-RU"/>
        </w:rPr>
      </w:pPr>
      <w:r>
        <w:rPr>
          <w:rFonts w:ascii="Cambria" w:hAnsi="Cambria" w:cs="Times New Roman"/>
          <w:b/>
          <w:bCs/>
          <w:sz w:val="28"/>
          <w:szCs w:val="28"/>
          <w:lang w:val="uk-UA"/>
        </w:rPr>
        <w:t xml:space="preserve">ТАБЛИЦЯ 1. </w:t>
      </w:r>
      <w:r w:rsidRPr="00613D2D">
        <w:rPr>
          <w:rFonts w:ascii="Cambria" w:hAnsi="Cambria" w:cs="Times New Roman"/>
          <w:b/>
          <w:bCs/>
          <w:sz w:val="28"/>
          <w:szCs w:val="28"/>
          <w:lang w:val="uk-UA"/>
        </w:rPr>
        <w:t>ВИДИ ТА ПРОГРАМИ ДОПОМОГИ ЭС - УКРАЇНА</w:t>
      </w:r>
    </w:p>
    <w:tbl>
      <w:tblPr>
        <w:tblStyle w:val="a3"/>
        <w:tblW w:w="0" w:type="auto"/>
        <w:tblLook w:val="04A0" w:firstRow="1" w:lastRow="0" w:firstColumn="1" w:lastColumn="0" w:noHBand="0" w:noVBand="1"/>
      </w:tblPr>
      <w:tblGrid>
        <w:gridCol w:w="3681"/>
        <w:gridCol w:w="5664"/>
      </w:tblGrid>
      <w:tr w:rsidR="00E742F5" w:rsidRPr="00E742F5" w14:paraId="7D4106E3" w14:textId="77777777" w:rsidTr="00FC6AA8">
        <w:tc>
          <w:tcPr>
            <w:tcW w:w="3681" w:type="dxa"/>
          </w:tcPr>
          <w:p w14:paraId="40C6208C" w14:textId="2DE64278" w:rsidR="00E742F5" w:rsidRPr="00C21515" w:rsidRDefault="00E742F5" w:rsidP="00FC6AA8">
            <w:pPr>
              <w:jc w:val="center"/>
              <w:rPr>
                <w:rFonts w:ascii="Cambria" w:hAnsi="Cambria" w:cs="Times New Roman"/>
                <w:sz w:val="24"/>
                <w:szCs w:val="24"/>
                <w:lang w:val="uk-UA"/>
              </w:rPr>
            </w:pPr>
            <w:r w:rsidRPr="00C21515">
              <w:rPr>
                <w:rFonts w:ascii="Cambria" w:hAnsi="Cambria" w:cs="Times New Roman"/>
                <w:sz w:val="24"/>
                <w:szCs w:val="24"/>
                <w:lang w:val="uk-UA"/>
              </w:rPr>
              <w:t>Види, напрями та програми допомоги ЄС – Україна</w:t>
            </w:r>
          </w:p>
        </w:tc>
        <w:tc>
          <w:tcPr>
            <w:tcW w:w="5664" w:type="dxa"/>
          </w:tcPr>
          <w:p w14:paraId="0BDB75C0" w14:textId="2EC8F1C0" w:rsidR="00E742F5" w:rsidRPr="00C21515" w:rsidRDefault="00E742F5" w:rsidP="00FC6AA8">
            <w:pPr>
              <w:jc w:val="center"/>
              <w:rPr>
                <w:rFonts w:ascii="Cambria" w:hAnsi="Cambria" w:cs="Times New Roman"/>
                <w:sz w:val="24"/>
                <w:szCs w:val="24"/>
                <w:lang w:val="uk-UA"/>
              </w:rPr>
            </w:pPr>
            <w:r w:rsidRPr="00C21515">
              <w:rPr>
                <w:rFonts w:ascii="Cambria" w:hAnsi="Cambria" w:cs="Times New Roman"/>
                <w:sz w:val="24"/>
                <w:szCs w:val="24"/>
                <w:lang w:val="uk-UA"/>
              </w:rPr>
              <w:t>Зміст</w:t>
            </w:r>
          </w:p>
        </w:tc>
      </w:tr>
      <w:tr w:rsidR="00E742F5" w:rsidRPr="00E742F5" w14:paraId="2F2140DF" w14:textId="77777777" w:rsidTr="00FC6AA8">
        <w:tc>
          <w:tcPr>
            <w:tcW w:w="3681" w:type="dxa"/>
          </w:tcPr>
          <w:p w14:paraId="42B21EE3" w14:textId="37BC127B" w:rsidR="00E742F5"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Проблеми, пов’язані з військовими діями на сході України</w:t>
            </w:r>
          </w:p>
        </w:tc>
        <w:tc>
          <w:tcPr>
            <w:tcW w:w="5664" w:type="dxa"/>
          </w:tcPr>
          <w:p w14:paraId="4657BE03" w14:textId="6C7F7B33" w:rsidR="00E742F5"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Гуманітарна допомога громадянам, переміщеним із тимчасово окупованих територій та районів проведення АТО, відновлення інфраструктури Донбасу, забезпечення потреб місцевого населення. З липня 2014 р. – 400 млн. євро.</w:t>
            </w:r>
          </w:p>
        </w:tc>
      </w:tr>
      <w:tr w:rsidR="00E742F5" w:rsidRPr="00E742F5" w14:paraId="31F04962" w14:textId="77777777" w:rsidTr="00FC6AA8">
        <w:tc>
          <w:tcPr>
            <w:tcW w:w="3681" w:type="dxa"/>
          </w:tcPr>
          <w:p w14:paraId="29C2854D" w14:textId="490B213B" w:rsidR="00E742F5"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Макрофінансова допомога (позики на тривалий термін і низькою відсотковою ставкою)</w:t>
            </w:r>
          </w:p>
        </w:tc>
        <w:tc>
          <w:tcPr>
            <w:tcW w:w="5664" w:type="dxa"/>
          </w:tcPr>
          <w:p w14:paraId="2680B018" w14:textId="707E990D" w:rsidR="00E742F5"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2014 р. – 3,41 млрд. євро, 2017 р. – 2,81 млрд. євро, 2018 р. – 0,6 млрд. євро.</w:t>
            </w:r>
          </w:p>
        </w:tc>
      </w:tr>
      <w:tr w:rsidR="00E742F5" w:rsidRPr="00E742F5" w14:paraId="38929C44" w14:textId="77777777" w:rsidTr="00FC6AA8">
        <w:tc>
          <w:tcPr>
            <w:tcW w:w="3681" w:type="dxa"/>
          </w:tcPr>
          <w:p w14:paraId="1985BCCD" w14:textId="77777777" w:rsidR="00EF3493"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 xml:space="preserve">Програми бюджетної допомоги ЄС – це гранти, спрямовані на підтримку реформ та розвиток: </w:t>
            </w:r>
          </w:p>
          <w:p w14:paraId="6ECFC5E0" w14:textId="48873DE7" w:rsidR="00EF3493" w:rsidRPr="00C21515" w:rsidRDefault="00EF3493" w:rsidP="00EF3493">
            <w:pPr>
              <w:pStyle w:val="a4"/>
              <w:numPr>
                <w:ilvl w:val="0"/>
                <w:numId w:val="1"/>
              </w:numPr>
              <w:jc w:val="both"/>
              <w:rPr>
                <w:rFonts w:ascii="Cambria" w:hAnsi="Cambria" w:cs="Times New Roman"/>
                <w:sz w:val="24"/>
                <w:szCs w:val="24"/>
                <w:lang w:val="uk-UA"/>
              </w:rPr>
            </w:pPr>
            <w:r w:rsidRPr="00C21515">
              <w:rPr>
                <w:rFonts w:ascii="Cambria" w:hAnsi="Cambria" w:cs="Times New Roman"/>
                <w:sz w:val="24"/>
                <w:szCs w:val="24"/>
                <w:lang w:val="uk-UA"/>
              </w:rPr>
              <w:t>«Програма реформування державного управління»</w:t>
            </w:r>
          </w:p>
          <w:p w14:paraId="075E9F30" w14:textId="6D3E4DC6" w:rsidR="00EF3493" w:rsidRDefault="00EF3493" w:rsidP="00EF3493">
            <w:pPr>
              <w:ind w:left="360"/>
              <w:jc w:val="both"/>
              <w:rPr>
                <w:rFonts w:ascii="Cambria" w:hAnsi="Cambria" w:cs="Times New Roman"/>
                <w:sz w:val="24"/>
                <w:szCs w:val="24"/>
                <w:lang w:val="uk-UA"/>
              </w:rPr>
            </w:pPr>
          </w:p>
          <w:p w14:paraId="0A3A9926" w14:textId="77777777" w:rsidR="00430911" w:rsidRPr="00C21515" w:rsidRDefault="00430911" w:rsidP="00EF3493">
            <w:pPr>
              <w:ind w:left="360"/>
              <w:jc w:val="both"/>
              <w:rPr>
                <w:rFonts w:ascii="Cambria" w:hAnsi="Cambria" w:cs="Times New Roman"/>
                <w:sz w:val="24"/>
                <w:szCs w:val="24"/>
                <w:lang w:val="uk-UA"/>
              </w:rPr>
            </w:pPr>
          </w:p>
          <w:p w14:paraId="4A04B4AD" w14:textId="77777777" w:rsidR="00EF3493" w:rsidRPr="00C21515" w:rsidRDefault="00EF3493" w:rsidP="00EF3493">
            <w:pPr>
              <w:pStyle w:val="a4"/>
              <w:numPr>
                <w:ilvl w:val="0"/>
                <w:numId w:val="1"/>
              </w:numPr>
              <w:jc w:val="both"/>
              <w:rPr>
                <w:rFonts w:ascii="Cambria" w:hAnsi="Cambria" w:cs="Times New Roman"/>
                <w:sz w:val="24"/>
                <w:szCs w:val="24"/>
                <w:lang w:val="uk-UA"/>
              </w:rPr>
            </w:pPr>
            <w:r w:rsidRPr="00C21515">
              <w:rPr>
                <w:rFonts w:ascii="Cambria" w:hAnsi="Cambria" w:cs="Times New Roman"/>
                <w:sz w:val="24"/>
                <w:szCs w:val="24"/>
                <w:lang w:val="uk-UA"/>
              </w:rPr>
              <w:t>«Загальнонаціональна програма щодо децентралізації»</w:t>
            </w:r>
          </w:p>
          <w:p w14:paraId="31943D92" w14:textId="77777777" w:rsidR="00EF3493" w:rsidRPr="00C21515" w:rsidRDefault="00EF3493" w:rsidP="00EF3493">
            <w:pPr>
              <w:pStyle w:val="a4"/>
              <w:rPr>
                <w:rFonts w:ascii="Cambria" w:hAnsi="Cambria" w:cs="Times New Roman"/>
                <w:sz w:val="24"/>
                <w:szCs w:val="24"/>
                <w:lang w:val="uk-UA"/>
              </w:rPr>
            </w:pPr>
          </w:p>
          <w:p w14:paraId="406F0FD4" w14:textId="4CA5056F" w:rsidR="00EF3493" w:rsidRPr="00C21515" w:rsidRDefault="00EF3493" w:rsidP="00EF3493">
            <w:pPr>
              <w:pStyle w:val="a4"/>
              <w:jc w:val="both"/>
              <w:rPr>
                <w:rFonts w:ascii="Cambria" w:hAnsi="Cambria" w:cs="Times New Roman"/>
                <w:sz w:val="24"/>
                <w:szCs w:val="24"/>
                <w:lang w:val="uk-UA"/>
              </w:rPr>
            </w:pPr>
          </w:p>
          <w:p w14:paraId="2A81B261" w14:textId="77777777" w:rsidR="00EF3493" w:rsidRPr="00C21515" w:rsidRDefault="00EF3493" w:rsidP="00EF3493">
            <w:pPr>
              <w:pStyle w:val="a4"/>
              <w:jc w:val="both"/>
              <w:rPr>
                <w:rFonts w:ascii="Cambria" w:hAnsi="Cambria" w:cs="Times New Roman"/>
                <w:sz w:val="24"/>
                <w:szCs w:val="24"/>
                <w:lang w:val="uk-UA"/>
              </w:rPr>
            </w:pPr>
          </w:p>
          <w:p w14:paraId="463B0C46" w14:textId="7BD75A81" w:rsidR="00EF3493" w:rsidRPr="00C21515" w:rsidRDefault="00EF3493" w:rsidP="00EF3493">
            <w:pPr>
              <w:pStyle w:val="a4"/>
              <w:numPr>
                <w:ilvl w:val="0"/>
                <w:numId w:val="1"/>
              </w:numPr>
              <w:jc w:val="both"/>
              <w:rPr>
                <w:rFonts w:ascii="Cambria" w:hAnsi="Cambria" w:cs="Times New Roman"/>
                <w:sz w:val="24"/>
                <w:szCs w:val="24"/>
                <w:lang w:val="uk-UA"/>
              </w:rPr>
            </w:pPr>
            <w:r w:rsidRPr="00C21515">
              <w:rPr>
                <w:rFonts w:ascii="Cambria" w:hAnsi="Cambria" w:cs="Times New Roman"/>
                <w:sz w:val="24"/>
                <w:szCs w:val="24"/>
                <w:lang w:val="uk-UA"/>
              </w:rPr>
              <w:t>«Антикорупційна програма»</w:t>
            </w:r>
          </w:p>
          <w:p w14:paraId="0FB7F636" w14:textId="6EE55D42" w:rsidR="00EF3493" w:rsidRPr="00C21515" w:rsidRDefault="00EF3493" w:rsidP="00EF3493">
            <w:pPr>
              <w:pStyle w:val="a4"/>
              <w:jc w:val="both"/>
              <w:rPr>
                <w:rFonts w:ascii="Cambria" w:hAnsi="Cambria" w:cs="Times New Roman"/>
                <w:sz w:val="24"/>
                <w:szCs w:val="24"/>
                <w:lang w:val="uk-UA"/>
              </w:rPr>
            </w:pPr>
          </w:p>
          <w:p w14:paraId="7037919A" w14:textId="1ED9BF0D" w:rsidR="00EF3493" w:rsidRPr="00C21515" w:rsidRDefault="00EF3493" w:rsidP="00EF3493">
            <w:pPr>
              <w:pStyle w:val="a4"/>
              <w:jc w:val="both"/>
              <w:rPr>
                <w:rFonts w:ascii="Cambria" w:hAnsi="Cambria" w:cs="Times New Roman"/>
                <w:sz w:val="24"/>
                <w:szCs w:val="24"/>
                <w:lang w:val="uk-UA"/>
              </w:rPr>
            </w:pPr>
          </w:p>
          <w:p w14:paraId="2283242D" w14:textId="1C0F8CA5" w:rsidR="00EF3493" w:rsidRPr="00C21515" w:rsidRDefault="00EF3493" w:rsidP="00EF3493">
            <w:pPr>
              <w:pStyle w:val="a4"/>
              <w:jc w:val="both"/>
              <w:rPr>
                <w:rFonts w:ascii="Cambria" w:hAnsi="Cambria" w:cs="Times New Roman"/>
                <w:sz w:val="24"/>
                <w:szCs w:val="24"/>
                <w:lang w:val="uk-UA"/>
              </w:rPr>
            </w:pPr>
          </w:p>
          <w:p w14:paraId="6011332C" w14:textId="77777777" w:rsidR="00EF3493" w:rsidRPr="00430911" w:rsidRDefault="00EF3493" w:rsidP="00430911">
            <w:pPr>
              <w:jc w:val="both"/>
              <w:rPr>
                <w:rFonts w:ascii="Cambria" w:hAnsi="Cambria" w:cs="Times New Roman"/>
                <w:sz w:val="24"/>
                <w:szCs w:val="24"/>
                <w:lang w:val="uk-UA"/>
              </w:rPr>
            </w:pPr>
          </w:p>
          <w:p w14:paraId="6A3C0513" w14:textId="2A3BC345" w:rsidR="00EF3493" w:rsidRPr="00C21515" w:rsidRDefault="00EF3493" w:rsidP="00EF3493">
            <w:pPr>
              <w:pStyle w:val="a4"/>
              <w:numPr>
                <w:ilvl w:val="0"/>
                <w:numId w:val="1"/>
              </w:numPr>
              <w:jc w:val="both"/>
              <w:rPr>
                <w:rFonts w:ascii="Cambria" w:hAnsi="Cambria" w:cs="Times New Roman"/>
                <w:sz w:val="24"/>
                <w:szCs w:val="24"/>
                <w:lang w:val="uk-UA"/>
              </w:rPr>
            </w:pPr>
            <w:r w:rsidRPr="00C21515">
              <w:rPr>
                <w:rFonts w:ascii="Cambria" w:hAnsi="Cambria" w:cs="Times New Roman"/>
                <w:sz w:val="24"/>
                <w:szCs w:val="24"/>
                <w:lang w:val="uk-UA"/>
              </w:rPr>
              <w:t xml:space="preserve">«Програма розвитку приватного сектору» </w:t>
            </w:r>
          </w:p>
        </w:tc>
        <w:tc>
          <w:tcPr>
            <w:tcW w:w="5664" w:type="dxa"/>
          </w:tcPr>
          <w:p w14:paraId="43B791A1" w14:textId="77777777" w:rsidR="00E742F5"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«Контракт із розбудови держави» (2014 р. ) – 355 млн. євро.</w:t>
            </w:r>
          </w:p>
          <w:p w14:paraId="66FE6576" w14:textId="77777777" w:rsidR="00EF3493" w:rsidRPr="00C21515" w:rsidRDefault="00EF3493" w:rsidP="00FC6AA8">
            <w:pPr>
              <w:jc w:val="both"/>
              <w:rPr>
                <w:rFonts w:ascii="Cambria" w:hAnsi="Cambria" w:cs="Times New Roman"/>
                <w:sz w:val="24"/>
                <w:szCs w:val="24"/>
                <w:lang w:val="uk-UA"/>
              </w:rPr>
            </w:pPr>
          </w:p>
          <w:p w14:paraId="19D9DC89" w14:textId="3D555DE0" w:rsidR="00EF3493"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2016 р. – 104 млн. євро. Формування нового покоління державних службовців, реорганізація урядових структур для забезпечення відповідності стандартам ЄС.</w:t>
            </w:r>
          </w:p>
          <w:p w14:paraId="0EFF2515" w14:textId="77777777" w:rsidR="00430911" w:rsidRPr="00C21515" w:rsidRDefault="00430911" w:rsidP="00FC6AA8">
            <w:pPr>
              <w:jc w:val="both"/>
              <w:rPr>
                <w:rFonts w:ascii="Cambria" w:hAnsi="Cambria" w:cs="Times New Roman"/>
                <w:sz w:val="24"/>
                <w:szCs w:val="24"/>
                <w:lang w:val="uk-UA"/>
              </w:rPr>
            </w:pPr>
          </w:p>
          <w:p w14:paraId="14E381F5" w14:textId="0E16D79B" w:rsidR="00EF3493"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2014 р. – 90 млн. євро. Надання консультацій щодо поліпшення прозорості дій та підзвітності місцевих та регіональних органів державної влади, а також посилення місцевих адміністративних центрів.</w:t>
            </w:r>
          </w:p>
          <w:p w14:paraId="044BAE4F" w14:textId="77777777" w:rsidR="00C21515" w:rsidRDefault="00C21515" w:rsidP="00FC6AA8">
            <w:pPr>
              <w:jc w:val="both"/>
              <w:rPr>
                <w:rFonts w:ascii="Cambria" w:hAnsi="Cambria" w:cs="Times New Roman"/>
                <w:sz w:val="24"/>
                <w:szCs w:val="24"/>
                <w:lang w:val="uk-UA"/>
              </w:rPr>
            </w:pPr>
          </w:p>
          <w:p w14:paraId="6FB99418" w14:textId="6DD44AEF" w:rsidR="00EF3493"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2014 р. – 15 млн. євро. Підтримка новостворених антикорупційних установ, посилення контролю над діяльністю парламентських структур, зміцнення потенціалу громадянського суспільства щодо сприяння боротьбі з корупцією.</w:t>
            </w:r>
          </w:p>
          <w:p w14:paraId="01F4482C" w14:textId="77777777" w:rsidR="00C21515" w:rsidRDefault="00C21515" w:rsidP="00FC6AA8">
            <w:pPr>
              <w:jc w:val="both"/>
              <w:rPr>
                <w:rFonts w:ascii="Cambria" w:hAnsi="Cambria" w:cs="Times New Roman"/>
                <w:sz w:val="24"/>
                <w:szCs w:val="24"/>
                <w:lang w:val="uk-UA"/>
              </w:rPr>
            </w:pPr>
          </w:p>
          <w:p w14:paraId="1B9B86E4" w14:textId="228275F7" w:rsidR="00EF3493" w:rsidRPr="00C21515" w:rsidRDefault="00EF3493" w:rsidP="00FC6AA8">
            <w:pPr>
              <w:jc w:val="both"/>
              <w:rPr>
                <w:rFonts w:ascii="Cambria" w:hAnsi="Cambria" w:cs="Times New Roman"/>
                <w:sz w:val="24"/>
                <w:szCs w:val="24"/>
                <w:lang w:val="uk-UA"/>
              </w:rPr>
            </w:pPr>
            <w:r w:rsidRPr="00C21515">
              <w:rPr>
                <w:rFonts w:ascii="Cambria" w:hAnsi="Cambria" w:cs="Times New Roman"/>
                <w:sz w:val="24"/>
                <w:szCs w:val="24"/>
                <w:lang w:val="uk-UA"/>
              </w:rPr>
              <w:t>2014 р. – 110 млн. євро. Сприяння відновленню економіки України через надання технічної допомоги з метою поліпшення законодавчої бази щодо МСП, підтримка створення центрів із бізнес-консультування в регіонах, які полегшують доступ до фінансування.</w:t>
            </w:r>
          </w:p>
        </w:tc>
      </w:tr>
      <w:tr w:rsidR="00E742F5" w:rsidRPr="00E742F5" w14:paraId="796FA476" w14:textId="77777777" w:rsidTr="00FC6AA8">
        <w:tc>
          <w:tcPr>
            <w:tcW w:w="3681" w:type="dxa"/>
          </w:tcPr>
          <w:p w14:paraId="6762F65D" w14:textId="77777777" w:rsidR="008B106A" w:rsidRPr="00C21515" w:rsidRDefault="008B106A" w:rsidP="00FC6AA8">
            <w:pPr>
              <w:jc w:val="both"/>
              <w:rPr>
                <w:rFonts w:ascii="Cambria" w:hAnsi="Cambria" w:cs="Times New Roman"/>
                <w:sz w:val="24"/>
                <w:szCs w:val="24"/>
                <w:lang w:val="uk-UA"/>
              </w:rPr>
            </w:pPr>
            <w:r w:rsidRPr="00C21515">
              <w:rPr>
                <w:rFonts w:ascii="Cambria" w:hAnsi="Cambria" w:cs="Times New Roman"/>
                <w:sz w:val="24"/>
                <w:szCs w:val="24"/>
                <w:lang w:val="uk-UA"/>
              </w:rPr>
              <w:t>Фінансування з фондів Європейського інструменту сусідства</w:t>
            </w:r>
          </w:p>
          <w:p w14:paraId="05D1A3C6" w14:textId="79F6E97A" w:rsidR="008B106A" w:rsidRPr="00C21515" w:rsidRDefault="008B106A" w:rsidP="008B106A">
            <w:pPr>
              <w:pStyle w:val="a4"/>
              <w:numPr>
                <w:ilvl w:val="0"/>
                <w:numId w:val="2"/>
              </w:numPr>
              <w:jc w:val="both"/>
              <w:rPr>
                <w:rFonts w:ascii="Cambria" w:hAnsi="Cambria" w:cs="Times New Roman"/>
                <w:sz w:val="24"/>
                <w:szCs w:val="24"/>
                <w:lang w:val="uk-UA"/>
              </w:rPr>
            </w:pPr>
            <w:r w:rsidRPr="00C21515">
              <w:rPr>
                <w:rFonts w:ascii="Cambria" w:hAnsi="Cambria" w:cs="Times New Roman"/>
                <w:sz w:val="24"/>
                <w:szCs w:val="24"/>
                <w:lang w:val="uk-UA"/>
              </w:rPr>
              <w:t>«Місцевий розвиток, орієнтований на громаду»</w:t>
            </w:r>
          </w:p>
          <w:p w14:paraId="7A90F5E0" w14:textId="77777777" w:rsidR="008B106A" w:rsidRPr="00C21515" w:rsidRDefault="008B106A" w:rsidP="008B106A">
            <w:pPr>
              <w:jc w:val="both"/>
              <w:rPr>
                <w:rFonts w:ascii="Cambria" w:hAnsi="Cambria" w:cs="Times New Roman"/>
                <w:sz w:val="24"/>
                <w:szCs w:val="24"/>
                <w:lang w:val="uk-UA"/>
              </w:rPr>
            </w:pPr>
          </w:p>
          <w:p w14:paraId="6B81A276" w14:textId="48D2EC81" w:rsidR="008B106A" w:rsidRPr="00C21515" w:rsidRDefault="008B106A" w:rsidP="008B106A">
            <w:pPr>
              <w:pStyle w:val="a4"/>
              <w:numPr>
                <w:ilvl w:val="0"/>
                <w:numId w:val="2"/>
              </w:numPr>
              <w:jc w:val="both"/>
              <w:rPr>
                <w:rFonts w:ascii="Cambria" w:hAnsi="Cambria" w:cs="Times New Roman"/>
                <w:sz w:val="24"/>
                <w:szCs w:val="24"/>
                <w:lang w:val="uk-UA"/>
              </w:rPr>
            </w:pPr>
            <w:r w:rsidRPr="00C21515">
              <w:rPr>
                <w:rFonts w:ascii="Cambria" w:hAnsi="Cambria" w:cs="Times New Roman"/>
                <w:sz w:val="24"/>
                <w:szCs w:val="24"/>
                <w:lang w:val="uk-UA"/>
              </w:rPr>
              <w:t>U-LEAD</w:t>
            </w:r>
          </w:p>
        </w:tc>
        <w:tc>
          <w:tcPr>
            <w:tcW w:w="5664" w:type="dxa"/>
          </w:tcPr>
          <w:p w14:paraId="6E6D9EB8" w14:textId="77777777" w:rsidR="008B106A" w:rsidRPr="00C21515" w:rsidRDefault="008B106A" w:rsidP="00FC6AA8">
            <w:pPr>
              <w:jc w:val="both"/>
              <w:rPr>
                <w:rFonts w:ascii="Cambria" w:hAnsi="Cambria" w:cs="Times New Roman"/>
                <w:sz w:val="24"/>
                <w:szCs w:val="24"/>
                <w:lang w:val="uk-UA"/>
              </w:rPr>
            </w:pPr>
            <w:r w:rsidRPr="00C21515">
              <w:rPr>
                <w:rFonts w:ascii="Cambria" w:hAnsi="Cambria" w:cs="Times New Roman"/>
                <w:sz w:val="24"/>
                <w:szCs w:val="24"/>
                <w:lang w:val="uk-UA"/>
              </w:rPr>
              <w:t xml:space="preserve">Третя фаза реалізації у 2014–2017 рр. – 23 млн. євро. Проект спрямовано на самоорганізацію сільських громад та підвищення їхньої здатності вирішувати актуальні проблеми своїх населених пунктів, таких як водопостачання, модернізація шкіл та медичних пунктів тощо. </w:t>
            </w:r>
          </w:p>
          <w:p w14:paraId="1C28FFF0" w14:textId="77777777" w:rsidR="00430911" w:rsidRDefault="00430911" w:rsidP="00FC6AA8">
            <w:pPr>
              <w:jc w:val="both"/>
              <w:rPr>
                <w:rFonts w:ascii="Cambria" w:hAnsi="Cambria" w:cs="Times New Roman"/>
                <w:sz w:val="24"/>
                <w:szCs w:val="24"/>
                <w:lang w:val="uk-UA"/>
              </w:rPr>
            </w:pPr>
          </w:p>
          <w:p w14:paraId="674266D3" w14:textId="0511EFCB" w:rsidR="00E742F5" w:rsidRPr="00C21515" w:rsidRDefault="008B106A" w:rsidP="00FC6AA8">
            <w:pPr>
              <w:jc w:val="both"/>
              <w:rPr>
                <w:rFonts w:ascii="Cambria" w:hAnsi="Cambria" w:cs="Times New Roman"/>
                <w:sz w:val="24"/>
                <w:szCs w:val="24"/>
                <w:lang w:val="uk-UA"/>
              </w:rPr>
            </w:pPr>
            <w:r w:rsidRPr="00C21515">
              <w:rPr>
                <w:rFonts w:ascii="Cambria" w:hAnsi="Cambria" w:cs="Times New Roman"/>
                <w:sz w:val="24"/>
                <w:szCs w:val="24"/>
                <w:lang w:val="uk-UA"/>
              </w:rPr>
              <w:t xml:space="preserve">2016 р. – 90 млн. євро. Мета проекту – зміцнення спроможності українських інституцій для </w:t>
            </w:r>
            <w:r w:rsidRPr="00C21515">
              <w:rPr>
                <w:rFonts w:ascii="Cambria" w:hAnsi="Cambria" w:cs="Times New Roman"/>
                <w:sz w:val="24"/>
                <w:szCs w:val="24"/>
                <w:lang w:val="uk-UA"/>
              </w:rPr>
              <w:lastRenderedPageBreak/>
              <w:t>реалізації реформи децентралізації та регіональної політики, а також розбудови системи центрів надання адміністративних послуг.</w:t>
            </w:r>
          </w:p>
        </w:tc>
      </w:tr>
      <w:tr w:rsidR="00E742F5" w:rsidRPr="00E742F5" w14:paraId="3F8A5CE9" w14:textId="77777777" w:rsidTr="00FC6AA8">
        <w:tc>
          <w:tcPr>
            <w:tcW w:w="3681" w:type="dxa"/>
          </w:tcPr>
          <w:p w14:paraId="139C8119" w14:textId="77777777" w:rsidR="00E742F5" w:rsidRPr="00C21515" w:rsidRDefault="008B106A" w:rsidP="00FC6AA8">
            <w:pPr>
              <w:jc w:val="both"/>
              <w:rPr>
                <w:rFonts w:ascii="Cambria" w:hAnsi="Cambria" w:cs="Times New Roman"/>
                <w:sz w:val="24"/>
                <w:szCs w:val="24"/>
                <w:lang w:val="uk-UA"/>
              </w:rPr>
            </w:pPr>
            <w:r w:rsidRPr="00C21515">
              <w:rPr>
                <w:rFonts w:ascii="Cambria" w:hAnsi="Cambria" w:cs="Times New Roman"/>
                <w:sz w:val="24"/>
                <w:szCs w:val="24"/>
                <w:lang w:val="uk-UA"/>
              </w:rPr>
              <w:lastRenderedPageBreak/>
              <w:t>Підтримка через міжнародні фінансові інституції, такі як Європейський банк реконструкції та розвитку, Європейський інвестиційний банк та Світовий банк.</w:t>
            </w:r>
          </w:p>
          <w:p w14:paraId="4B052DB7" w14:textId="76114C55" w:rsidR="008B106A" w:rsidRPr="00C21515" w:rsidRDefault="008B106A" w:rsidP="00FC6AA8">
            <w:pPr>
              <w:jc w:val="both"/>
              <w:rPr>
                <w:rFonts w:ascii="Cambria" w:hAnsi="Cambria" w:cs="Times New Roman"/>
                <w:sz w:val="24"/>
                <w:szCs w:val="24"/>
                <w:lang w:val="uk-UA"/>
              </w:rPr>
            </w:pPr>
            <w:r w:rsidRPr="00C21515">
              <w:rPr>
                <w:rFonts w:ascii="Cambria" w:hAnsi="Cambria" w:cs="Times New Roman"/>
                <w:sz w:val="24"/>
                <w:szCs w:val="24"/>
                <w:lang w:val="uk-UA"/>
              </w:rPr>
              <w:t>Спільний проект ЄС та ЄБРР EU4Business; Європейський інвестиційний банк – «Надзвичайна програма з відновлення України»</w:t>
            </w:r>
          </w:p>
        </w:tc>
        <w:tc>
          <w:tcPr>
            <w:tcW w:w="5664" w:type="dxa"/>
          </w:tcPr>
          <w:p w14:paraId="3451CB12" w14:textId="77777777" w:rsidR="00E742F5" w:rsidRPr="00C21515" w:rsidRDefault="008B106A" w:rsidP="00FC6AA8">
            <w:pPr>
              <w:jc w:val="both"/>
              <w:rPr>
                <w:rFonts w:ascii="Cambria" w:hAnsi="Cambria" w:cs="Times New Roman"/>
                <w:sz w:val="24"/>
                <w:szCs w:val="24"/>
                <w:lang w:val="uk-UA"/>
              </w:rPr>
            </w:pPr>
            <w:r w:rsidRPr="00C21515">
              <w:rPr>
                <w:rFonts w:ascii="Cambria" w:hAnsi="Cambria" w:cs="Times New Roman"/>
                <w:sz w:val="24"/>
                <w:szCs w:val="24"/>
                <w:lang w:val="uk-UA"/>
              </w:rPr>
              <w:t>Модернізація газотранспортної системи України, забезпечення</w:t>
            </w:r>
            <w:r w:rsidRPr="00C21515">
              <w:rPr>
                <w:rFonts w:ascii="Cambria" w:hAnsi="Cambria" w:cs="Times New Roman"/>
                <w:sz w:val="24"/>
                <w:szCs w:val="24"/>
              </w:rPr>
              <w:t xml:space="preserve"> </w:t>
            </w:r>
            <w:r w:rsidRPr="00C21515">
              <w:rPr>
                <w:rFonts w:ascii="Cambria" w:hAnsi="Cambria" w:cs="Times New Roman"/>
                <w:sz w:val="24"/>
                <w:szCs w:val="24"/>
                <w:lang w:val="uk-UA"/>
              </w:rPr>
              <w:t>реконструкції частин східно-західних транзитних трубопроводів</w:t>
            </w:r>
          </w:p>
          <w:p w14:paraId="2972C77E" w14:textId="77777777" w:rsidR="008B106A" w:rsidRPr="00C21515" w:rsidRDefault="008B106A" w:rsidP="00FC6AA8">
            <w:pPr>
              <w:jc w:val="both"/>
              <w:rPr>
                <w:rFonts w:ascii="Cambria" w:hAnsi="Cambria" w:cs="Times New Roman"/>
                <w:sz w:val="24"/>
                <w:szCs w:val="24"/>
                <w:lang w:val="uk-UA"/>
              </w:rPr>
            </w:pPr>
          </w:p>
          <w:p w14:paraId="68409734" w14:textId="34A4EAE8" w:rsidR="008B106A" w:rsidRPr="00C21515" w:rsidRDefault="008B106A" w:rsidP="00FC6AA8">
            <w:pPr>
              <w:jc w:val="both"/>
              <w:rPr>
                <w:rFonts w:ascii="Cambria" w:hAnsi="Cambria" w:cs="Times New Roman"/>
                <w:sz w:val="24"/>
                <w:szCs w:val="24"/>
                <w:lang w:val="uk-UA"/>
              </w:rPr>
            </w:pPr>
          </w:p>
          <w:p w14:paraId="35D48DFD" w14:textId="3657F63B" w:rsidR="00C21515" w:rsidRPr="00C21515" w:rsidRDefault="00C21515" w:rsidP="00FC6AA8">
            <w:pPr>
              <w:jc w:val="both"/>
              <w:rPr>
                <w:rFonts w:ascii="Cambria" w:hAnsi="Cambria" w:cs="Times New Roman"/>
                <w:sz w:val="24"/>
                <w:szCs w:val="24"/>
                <w:lang w:val="uk-UA"/>
              </w:rPr>
            </w:pPr>
          </w:p>
          <w:p w14:paraId="20B7A039" w14:textId="19775FF2" w:rsidR="008B106A"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12 млн. євро – кредитування малого та середнього бізнесу. 200 млн. євро – програма відновлення України, спрямована на п’ять східних областей</w:t>
            </w:r>
          </w:p>
        </w:tc>
      </w:tr>
      <w:tr w:rsidR="00E742F5" w:rsidRPr="00E742F5" w14:paraId="4A217712" w14:textId="77777777" w:rsidTr="00FC6AA8">
        <w:tc>
          <w:tcPr>
            <w:tcW w:w="3681" w:type="dxa"/>
          </w:tcPr>
          <w:p w14:paraId="3A1B24F2" w14:textId="7648C4D8" w:rsidR="00E742F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Розвиток громадянського суспільства 10 млн. євро</w:t>
            </w:r>
          </w:p>
        </w:tc>
        <w:tc>
          <w:tcPr>
            <w:tcW w:w="5664" w:type="dxa"/>
          </w:tcPr>
          <w:p w14:paraId="3E652AA3" w14:textId="4D533E94" w:rsidR="00E742F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Посилення потенціалу громадянського суспільства та моніторинг запущеної програми реформ</w:t>
            </w:r>
          </w:p>
        </w:tc>
      </w:tr>
      <w:tr w:rsidR="00E742F5" w:rsidRPr="00E742F5" w14:paraId="02E6A837" w14:textId="77777777" w:rsidTr="00FC6AA8">
        <w:tc>
          <w:tcPr>
            <w:tcW w:w="3681" w:type="dxa"/>
          </w:tcPr>
          <w:p w14:paraId="00E1CECD" w14:textId="6FC64B88" w:rsidR="00E742F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Безвізовий режим</w:t>
            </w:r>
          </w:p>
        </w:tc>
        <w:tc>
          <w:tcPr>
            <w:tcW w:w="5664" w:type="dxa"/>
          </w:tcPr>
          <w:p w14:paraId="71C7391B" w14:textId="3007B75A" w:rsidR="00E742F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Набув чинності 11 червня 2017 р. для громадян України, які мають біометричні паспорти. Це дало їм змогу здійснювати короткострокові поїздки до ЄС, перебуваючи там не більше 90 днів протягом 180 днів. Водночас безвізовий режим не надає громадянам України права на роботу чи навчання в країнах ЄС</w:t>
            </w:r>
          </w:p>
        </w:tc>
      </w:tr>
      <w:tr w:rsidR="00E742F5" w:rsidRPr="00E742F5" w14:paraId="77A26FB5" w14:textId="77777777" w:rsidTr="00FC6AA8">
        <w:tc>
          <w:tcPr>
            <w:tcW w:w="3681" w:type="dxa"/>
          </w:tcPr>
          <w:p w14:paraId="3AC73CBF" w14:textId="77777777" w:rsidR="00E742F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Співпраця у сфері освіти та культури</w:t>
            </w:r>
          </w:p>
          <w:p w14:paraId="65CFF81B" w14:textId="087236C5" w:rsidR="00C2151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–Erasmus+</w:t>
            </w:r>
          </w:p>
        </w:tc>
        <w:tc>
          <w:tcPr>
            <w:tcW w:w="5664" w:type="dxa"/>
          </w:tcPr>
          <w:p w14:paraId="766E1181" w14:textId="3476CAE9" w:rsidR="00E742F5" w:rsidRPr="00C21515" w:rsidRDefault="00C21515" w:rsidP="00FC6AA8">
            <w:pPr>
              <w:jc w:val="both"/>
              <w:rPr>
                <w:rFonts w:ascii="Cambria" w:hAnsi="Cambria" w:cs="Times New Roman"/>
                <w:sz w:val="24"/>
                <w:szCs w:val="24"/>
                <w:lang w:val="uk-UA"/>
              </w:rPr>
            </w:pPr>
            <w:r w:rsidRPr="00C21515">
              <w:rPr>
                <w:rFonts w:ascii="Cambria" w:hAnsi="Cambria" w:cs="Times New Roman"/>
                <w:sz w:val="24"/>
                <w:szCs w:val="24"/>
                <w:lang w:val="uk-UA"/>
              </w:rPr>
              <w:t>2014 р. Програма охоплює всі сектори: освіту, підготовку та молодіжну політику, спорт. Напрями програми, відкриті для участі навчальних закладів з України: «Ступенева мобільність», «Кредитна мобільність», «Розвиток потенціалу вищої освіти», «Альянси знань», «Стратегічні партнерства» і «Жан Моне».</w:t>
            </w:r>
          </w:p>
        </w:tc>
      </w:tr>
    </w:tbl>
    <w:p w14:paraId="0F7A87DB" w14:textId="77777777" w:rsidR="00E742F5" w:rsidRDefault="00E742F5" w:rsidP="00166A9F">
      <w:pPr>
        <w:spacing w:after="0" w:line="240" w:lineRule="auto"/>
        <w:jc w:val="both"/>
        <w:rPr>
          <w:rFonts w:ascii="Cambria" w:hAnsi="Cambria" w:cs="Times New Roman"/>
          <w:sz w:val="28"/>
          <w:szCs w:val="28"/>
          <w:lang w:val="uk-UA"/>
        </w:rPr>
      </w:pPr>
    </w:p>
    <w:p w14:paraId="418B3832" w14:textId="77777777" w:rsidR="00613D2D" w:rsidRDefault="00613D2D" w:rsidP="00613D2D">
      <w:pPr>
        <w:spacing w:after="0" w:line="240" w:lineRule="auto"/>
        <w:ind w:firstLine="709"/>
        <w:jc w:val="both"/>
        <w:rPr>
          <w:rFonts w:ascii="Cambria" w:hAnsi="Cambria" w:cs="Times New Roman"/>
          <w:sz w:val="28"/>
          <w:szCs w:val="28"/>
          <w:lang w:val="uk-UA"/>
        </w:rPr>
      </w:pPr>
    </w:p>
    <w:p w14:paraId="44DED9AC" w14:textId="60449168" w:rsidR="00613D2D" w:rsidRPr="00C342B2" w:rsidRDefault="00613D2D" w:rsidP="00613D2D">
      <w:pPr>
        <w:spacing w:after="0" w:line="240" w:lineRule="auto"/>
        <w:ind w:firstLine="709"/>
        <w:jc w:val="both"/>
        <w:rPr>
          <w:rFonts w:ascii="Cambria" w:hAnsi="Cambria" w:cs="Times New Roman"/>
          <w:sz w:val="28"/>
          <w:szCs w:val="28"/>
          <w:lang w:val="uk-UA"/>
        </w:rPr>
      </w:pPr>
      <w:r w:rsidRPr="00C342B2">
        <w:rPr>
          <w:rFonts w:ascii="Cambria" w:hAnsi="Cambria" w:cs="Times New Roman"/>
          <w:sz w:val="28"/>
          <w:szCs w:val="28"/>
          <w:lang w:val="uk-UA"/>
        </w:rPr>
        <w:t>У табл. 2 наведено аналіз сильних і слабких сторін інтеграції України до ЄС, а також очікувані можливості й загрози. Проведений аналіз сильних та слабких сторін інтеграції України до ЄС дає змогу констатувати, що Україні потрібно акцентувати увагу на сильних сторонах та потенційних можливостях, що надасть перспективу входження в європейський політичний та економічний простір.</w:t>
      </w:r>
    </w:p>
    <w:p w14:paraId="345184D6" w14:textId="4486AC72" w:rsidR="00613D2D" w:rsidRDefault="00613D2D" w:rsidP="00613D2D">
      <w:pPr>
        <w:spacing w:after="0" w:line="240" w:lineRule="auto"/>
        <w:jc w:val="both"/>
        <w:rPr>
          <w:rFonts w:ascii="Cambria" w:hAnsi="Cambria" w:cs="Times New Roman"/>
          <w:sz w:val="28"/>
          <w:szCs w:val="28"/>
          <w:lang w:val="uk-UA"/>
        </w:rPr>
      </w:pPr>
    </w:p>
    <w:p w14:paraId="7D9273A4" w14:textId="766B5FCC" w:rsidR="00613D2D" w:rsidRDefault="00613D2D" w:rsidP="00613D2D">
      <w:pPr>
        <w:spacing w:after="0" w:line="240" w:lineRule="auto"/>
        <w:jc w:val="both"/>
        <w:rPr>
          <w:rFonts w:ascii="Cambria" w:hAnsi="Cambria" w:cs="Times New Roman"/>
          <w:sz w:val="28"/>
          <w:szCs w:val="28"/>
          <w:lang w:val="uk-UA"/>
        </w:rPr>
      </w:pPr>
    </w:p>
    <w:p w14:paraId="104713D1" w14:textId="11CFF266" w:rsidR="00613D2D" w:rsidRDefault="00613D2D" w:rsidP="00613D2D">
      <w:pPr>
        <w:spacing w:after="0" w:line="240" w:lineRule="auto"/>
        <w:jc w:val="both"/>
        <w:rPr>
          <w:rFonts w:ascii="Cambria" w:hAnsi="Cambria" w:cs="Times New Roman"/>
          <w:sz w:val="28"/>
          <w:szCs w:val="28"/>
          <w:lang w:val="uk-UA"/>
        </w:rPr>
      </w:pPr>
    </w:p>
    <w:p w14:paraId="7192F2BE" w14:textId="2D774C00" w:rsidR="00613D2D" w:rsidRDefault="00613D2D" w:rsidP="00613D2D">
      <w:pPr>
        <w:spacing w:after="0" w:line="240" w:lineRule="auto"/>
        <w:jc w:val="both"/>
        <w:rPr>
          <w:rFonts w:ascii="Cambria" w:hAnsi="Cambria" w:cs="Times New Roman"/>
          <w:sz w:val="28"/>
          <w:szCs w:val="28"/>
          <w:lang w:val="uk-UA"/>
        </w:rPr>
      </w:pPr>
    </w:p>
    <w:p w14:paraId="54AB61E8" w14:textId="4DD7ED2D" w:rsidR="00613D2D" w:rsidRDefault="00613D2D" w:rsidP="00613D2D">
      <w:pPr>
        <w:spacing w:after="0" w:line="240" w:lineRule="auto"/>
        <w:jc w:val="both"/>
        <w:rPr>
          <w:rFonts w:ascii="Cambria" w:hAnsi="Cambria" w:cs="Times New Roman"/>
          <w:sz w:val="28"/>
          <w:szCs w:val="28"/>
          <w:lang w:val="uk-UA"/>
        </w:rPr>
      </w:pPr>
    </w:p>
    <w:p w14:paraId="6FB2C6C3" w14:textId="38802ADD" w:rsidR="00613D2D" w:rsidRDefault="00613D2D" w:rsidP="00613D2D">
      <w:pPr>
        <w:spacing w:after="0" w:line="240" w:lineRule="auto"/>
        <w:jc w:val="both"/>
        <w:rPr>
          <w:rFonts w:ascii="Cambria" w:hAnsi="Cambria" w:cs="Times New Roman"/>
          <w:sz w:val="28"/>
          <w:szCs w:val="28"/>
          <w:lang w:val="uk-UA"/>
        </w:rPr>
      </w:pPr>
    </w:p>
    <w:p w14:paraId="27F93C39" w14:textId="1F882BAE" w:rsidR="00613D2D" w:rsidRDefault="00613D2D" w:rsidP="00613D2D">
      <w:pPr>
        <w:spacing w:after="0" w:line="240" w:lineRule="auto"/>
        <w:jc w:val="both"/>
        <w:rPr>
          <w:rFonts w:ascii="Cambria" w:hAnsi="Cambria" w:cs="Times New Roman"/>
          <w:sz w:val="28"/>
          <w:szCs w:val="28"/>
          <w:lang w:val="uk-UA"/>
        </w:rPr>
      </w:pPr>
    </w:p>
    <w:p w14:paraId="460064F0" w14:textId="182D23E8" w:rsidR="00613D2D" w:rsidRDefault="00613D2D" w:rsidP="00613D2D">
      <w:pPr>
        <w:spacing w:after="0" w:line="240" w:lineRule="auto"/>
        <w:jc w:val="both"/>
        <w:rPr>
          <w:rFonts w:ascii="Cambria" w:hAnsi="Cambria" w:cs="Times New Roman"/>
          <w:sz w:val="28"/>
          <w:szCs w:val="28"/>
          <w:lang w:val="uk-UA"/>
        </w:rPr>
      </w:pPr>
    </w:p>
    <w:p w14:paraId="63B9E88B" w14:textId="3472AEF5" w:rsidR="008B106A" w:rsidRPr="00D31F34" w:rsidRDefault="00613D2D" w:rsidP="00D31F34">
      <w:pPr>
        <w:spacing w:after="0" w:line="240" w:lineRule="auto"/>
        <w:jc w:val="center"/>
        <w:rPr>
          <w:rFonts w:ascii="Cambria" w:hAnsi="Cambria" w:cs="Times New Roman"/>
          <w:b/>
          <w:bCs/>
          <w:sz w:val="28"/>
          <w:szCs w:val="28"/>
          <w:lang w:val="uk-UA"/>
        </w:rPr>
      </w:pPr>
      <w:r w:rsidRPr="00613D2D">
        <w:rPr>
          <w:rFonts w:ascii="Cambria" w:hAnsi="Cambria" w:cs="Times New Roman"/>
          <w:b/>
          <w:bCs/>
          <w:sz w:val="28"/>
          <w:szCs w:val="28"/>
          <w:lang w:val="uk-UA"/>
        </w:rPr>
        <w:lastRenderedPageBreak/>
        <w:t>ТАБЛИЦЯ 2. АНАЛІЗ СИЛЬНИХ І СЛАБИХ СТОРІН ІНТЕГРАЦІЇ УКРАЇНИ ДО ЄС</w:t>
      </w:r>
      <w:r>
        <w:rPr>
          <w:rFonts w:ascii="Cambria" w:hAnsi="Cambria" w:cs="Times New Roman"/>
          <w:b/>
          <w:bCs/>
          <w:sz w:val="28"/>
          <w:szCs w:val="28"/>
          <w:lang w:val="uk-UA"/>
        </w:rPr>
        <w:t>, ОЧІКУВАНІ МОЖЛИВОСТІ Й ЗАГРОЗИ</w:t>
      </w:r>
    </w:p>
    <w:tbl>
      <w:tblPr>
        <w:tblStyle w:val="a3"/>
        <w:tblW w:w="0" w:type="auto"/>
        <w:tblLook w:val="04A0" w:firstRow="1" w:lastRow="0" w:firstColumn="1" w:lastColumn="0" w:noHBand="0" w:noVBand="1"/>
      </w:tblPr>
      <w:tblGrid>
        <w:gridCol w:w="5524"/>
        <w:gridCol w:w="992"/>
        <w:gridCol w:w="2829"/>
      </w:tblGrid>
      <w:tr w:rsidR="00613D2D" w:rsidRPr="00613D2D" w14:paraId="4E9DD201" w14:textId="77777777" w:rsidTr="007900C7">
        <w:tc>
          <w:tcPr>
            <w:tcW w:w="5524" w:type="dxa"/>
          </w:tcPr>
          <w:p w14:paraId="76352FEC" w14:textId="3F8CF56A" w:rsidR="00613D2D" w:rsidRPr="00613D2D" w:rsidRDefault="00613D2D" w:rsidP="00FC6AA8">
            <w:pPr>
              <w:jc w:val="center"/>
              <w:rPr>
                <w:rFonts w:ascii="Cambria" w:hAnsi="Cambria" w:cs="Times New Roman"/>
                <w:b/>
                <w:bCs/>
                <w:sz w:val="24"/>
                <w:szCs w:val="24"/>
                <w:lang w:val="uk-UA"/>
              </w:rPr>
            </w:pPr>
            <w:r w:rsidRPr="00613D2D">
              <w:rPr>
                <w:rFonts w:ascii="Cambria" w:hAnsi="Cambria" w:cs="Times New Roman"/>
                <w:b/>
                <w:bCs/>
                <w:sz w:val="28"/>
                <w:szCs w:val="28"/>
                <w:lang w:val="uk-UA"/>
              </w:rPr>
              <w:t>Сильні сторони</w:t>
            </w:r>
          </w:p>
        </w:tc>
        <w:tc>
          <w:tcPr>
            <w:tcW w:w="3821" w:type="dxa"/>
            <w:gridSpan w:val="2"/>
          </w:tcPr>
          <w:p w14:paraId="717C74E8" w14:textId="186C588A" w:rsidR="00613D2D" w:rsidRPr="00613D2D" w:rsidRDefault="00613D2D" w:rsidP="00FC6AA8">
            <w:pPr>
              <w:jc w:val="center"/>
              <w:rPr>
                <w:rFonts w:ascii="Cambria" w:hAnsi="Cambria" w:cs="Times New Roman"/>
                <w:b/>
                <w:bCs/>
                <w:sz w:val="24"/>
                <w:szCs w:val="24"/>
                <w:lang w:val="uk-UA"/>
              </w:rPr>
            </w:pPr>
            <w:r w:rsidRPr="00613D2D">
              <w:rPr>
                <w:rFonts w:ascii="Cambria" w:hAnsi="Cambria" w:cs="Times New Roman"/>
                <w:b/>
                <w:bCs/>
                <w:sz w:val="28"/>
                <w:szCs w:val="28"/>
                <w:lang w:val="uk-UA"/>
              </w:rPr>
              <w:t>Слабкі сторони</w:t>
            </w:r>
          </w:p>
        </w:tc>
      </w:tr>
      <w:tr w:rsidR="00613D2D" w:rsidRPr="00613D2D" w14:paraId="3BF01315" w14:textId="77777777" w:rsidTr="007900C7">
        <w:tc>
          <w:tcPr>
            <w:tcW w:w="5524" w:type="dxa"/>
          </w:tcPr>
          <w:p w14:paraId="512E5079"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Політичні переваги: </w:t>
            </w:r>
          </w:p>
          <w:p w14:paraId="2E8B523B"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європейська колективна безпека; </w:t>
            </w:r>
          </w:p>
          <w:p w14:paraId="3AD0B048"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членство в НАТО; </w:t>
            </w:r>
          </w:p>
          <w:p w14:paraId="02DCC54C"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стійка плюралістична демократична правова держава; </w:t>
            </w:r>
          </w:p>
          <w:p w14:paraId="178E5598" w14:textId="73078741"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розбудова демократичних інституцій.</w:t>
            </w:r>
          </w:p>
        </w:tc>
        <w:tc>
          <w:tcPr>
            <w:tcW w:w="3821" w:type="dxa"/>
            <w:gridSpan w:val="2"/>
          </w:tcPr>
          <w:p w14:paraId="3F72151D"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Політичні недоліки: </w:t>
            </w:r>
          </w:p>
          <w:p w14:paraId="31EB4648"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часткова втрата суверенітету; </w:t>
            </w:r>
          </w:p>
          <w:p w14:paraId="12D65BA6"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невизначеність місця України в стратегії розвитку ЄС; </w:t>
            </w:r>
          </w:p>
          <w:p w14:paraId="4A766AE8" w14:textId="29F40E53"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погіршення відносин із країнами Митного союзу.</w:t>
            </w:r>
          </w:p>
        </w:tc>
      </w:tr>
      <w:tr w:rsidR="00613D2D" w:rsidRPr="00613D2D" w14:paraId="35597598" w14:textId="77777777" w:rsidTr="007900C7">
        <w:tc>
          <w:tcPr>
            <w:tcW w:w="5524" w:type="dxa"/>
          </w:tcPr>
          <w:p w14:paraId="3A50D38C"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Економічні переваги: </w:t>
            </w:r>
          </w:p>
          <w:p w14:paraId="03F28E57"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макроекономічна стабільність; </w:t>
            </w:r>
          </w:p>
          <w:p w14:paraId="5D2F1ED2" w14:textId="3F037D81"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технологічна модернізація; </w:t>
            </w:r>
          </w:p>
          <w:p w14:paraId="64C98CA8"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забезпечення вільного доступу до новітніх технологій, капіталу, інформації; </w:t>
            </w:r>
          </w:p>
          <w:p w14:paraId="028B3383"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надання субсидій сільському господарству; </w:t>
            </w:r>
          </w:p>
          <w:p w14:paraId="120B191D"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залучення іноземних інвестицій і новітніх технологій в українську економіку; </w:t>
            </w:r>
          </w:p>
          <w:p w14:paraId="6437D8DE"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створення нових робочих місць; </w:t>
            </w:r>
          </w:p>
          <w:p w14:paraId="7CB6504D" w14:textId="0B4B563B"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спільні митні тарифи; </w:t>
            </w:r>
          </w:p>
          <w:p w14:paraId="48BA8408"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антидемпінгова політика; </w:t>
            </w:r>
          </w:p>
          <w:p w14:paraId="5CC4A642" w14:textId="793386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протекціонізм і контроль експорту.</w:t>
            </w:r>
          </w:p>
        </w:tc>
        <w:tc>
          <w:tcPr>
            <w:tcW w:w="3821" w:type="dxa"/>
            <w:gridSpan w:val="2"/>
          </w:tcPr>
          <w:p w14:paraId="5055E105"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Економічні недоліки: </w:t>
            </w:r>
          </w:p>
          <w:p w14:paraId="68626B86"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низький рівень ВВП та дохід на душу населення; </w:t>
            </w:r>
          </w:p>
          <w:p w14:paraId="51284584"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втрата конкурентоспроможності певних галузей економіки; </w:t>
            </w:r>
          </w:p>
          <w:p w14:paraId="3DD3D7E6"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недостатньо високий рівень наповнення вітчизняними товарами внутрішнього ринку; </w:t>
            </w:r>
          </w:p>
          <w:p w14:paraId="5BF0E9E5"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неконкурентоспроможна на зовнішньому ринку продукція; </w:t>
            </w:r>
          </w:p>
          <w:p w14:paraId="624B02B6"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складність переходу на європейський рівень цін; </w:t>
            </w:r>
          </w:p>
          <w:p w14:paraId="7D608843" w14:textId="77777777" w:rsid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квотування певних видів товарів; </w:t>
            </w:r>
          </w:p>
          <w:p w14:paraId="7F2B25E3" w14:textId="72B3F8E6"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відтік кваліфікованої робочої сили.</w:t>
            </w:r>
          </w:p>
        </w:tc>
      </w:tr>
      <w:tr w:rsidR="00613D2D" w:rsidRPr="00613D2D" w14:paraId="5425E28E" w14:textId="77777777" w:rsidTr="00613D2D">
        <w:tc>
          <w:tcPr>
            <w:tcW w:w="6516" w:type="dxa"/>
            <w:gridSpan w:val="2"/>
          </w:tcPr>
          <w:p w14:paraId="491095AE"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Соціальні переваги: </w:t>
            </w:r>
          </w:p>
          <w:p w14:paraId="0874E2BB"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ефективний захист прав людини в інституціях ЄС; </w:t>
            </w:r>
          </w:p>
          <w:p w14:paraId="12E2FEF7"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упровадження соціальних стандартів у сферах охорони здоров’я, освіти, культури, соціального захисту та соціального страхування; </w:t>
            </w:r>
          </w:p>
          <w:p w14:paraId="481956EB"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ефективний захист прав працівників; </w:t>
            </w:r>
          </w:p>
          <w:p w14:paraId="1922F467"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забезпечення високого рівня життя населення; </w:t>
            </w:r>
          </w:p>
          <w:p w14:paraId="3A8A1406"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відкриття кордонів до вільного пересування населення; </w:t>
            </w:r>
          </w:p>
          <w:p w14:paraId="4CEDC329"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 розвинена система охорони довкілля; </w:t>
            </w:r>
          </w:p>
          <w:p w14:paraId="4051BA96" w14:textId="5E2F055E"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формування нового загальнодержавного менталітету.</w:t>
            </w:r>
          </w:p>
        </w:tc>
        <w:tc>
          <w:tcPr>
            <w:tcW w:w="2829" w:type="dxa"/>
          </w:tcPr>
          <w:p w14:paraId="09DAD77B" w14:textId="77777777"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xml:space="preserve">Соціальні недоліки: </w:t>
            </w:r>
          </w:p>
          <w:p w14:paraId="1A6FF565" w14:textId="20341A1F" w:rsidR="00613D2D" w:rsidRPr="00613D2D" w:rsidRDefault="00613D2D" w:rsidP="00FC6AA8">
            <w:pPr>
              <w:jc w:val="both"/>
              <w:rPr>
                <w:rFonts w:ascii="Cambria" w:hAnsi="Cambria" w:cs="Times New Roman"/>
                <w:sz w:val="24"/>
                <w:szCs w:val="24"/>
                <w:lang w:val="uk-UA"/>
              </w:rPr>
            </w:pPr>
            <w:r w:rsidRPr="00613D2D">
              <w:rPr>
                <w:rFonts w:ascii="Cambria" w:hAnsi="Cambria" w:cs="Times New Roman"/>
                <w:sz w:val="24"/>
                <w:szCs w:val="24"/>
                <w:lang w:val="uk-UA"/>
              </w:rPr>
              <w:t>– ускладнення візового режиму зі східними сусідами.</w:t>
            </w:r>
          </w:p>
        </w:tc>
      </w:tr>
      <w:tr w:rsidR="00613D2D" w:rsidRPr="00613D2D" w14:paraId="194697D2" w14:textId="77777777" w:rsidTr="007900C7">
        <w:tc>
          <w:tcPr>
            <w:tcW w:w="5524" w:type="dxa"/>
          </w:tcPr>
          <w:p w14:paraId="6DAEF482" w14:textId="4B008A42" w:rsidR="00613D2D" w:rsidRPr="00613D2D" w:rsidRDefault="00613D2D" w:rsidP="00613D2D">
            <w:pPr>
              <w:jc w:val="center"/>
              <w:rPr>
                <w:rFonts w:ascii="Cambria" w:hAnsi="Cambria" w:cs="Times New Roman"/>
                <w:b/>
                <w:bCs/>
                <w:sz w:val="24"/>
                <w:szCs w:val="24"/>
                <w:lang w:val="uk-UA"/>
              </w:rPr>
            </w:pPr>
            <w:r w:rsidRPr="00613D2D">
              <w:rPr>
                <w:rFonts w:ascii="Cambria" w:hAnsi="Cambria" w:cs="Times New Roman"/>
                <w:b/>
                <w:bCs/>
                <w:sz w:val="28"/>
                <w:szCs w:val="28"/>
                <w:lang w:val="uk-UA"/>
              </w:rPr>
              <w:t>Можливості</w:t>
            </w:r>
          </w:p>
        </w:tc>
        <w:tc>
          <w:tcPr>
            <w:tcW w:w="3821" w:type="dxa"/>
            <w:gridSpan w:val="2"/>
          </w:tcPr>
          <w:p w14:paraId="6BE708B9" w14:textId="33B35C3B" w:rsidR="00613D2D" w:rsidRPr="00613D2D" w:rsidRDefault="00613D2D" w:rsidP="00613D2D">
            <w:pPr>
              <w:jc w:val="center"/>
              <w:rPr>
                <w:rFonts w:ascii="Cambria" w:hAnsi="Cambria" w:cs="Times New Roman"/>
                <w:b/>
                <w:bCs/>
                <w:sz w:val="24"/>
                <w:szCs w:val="24"/>
                <w:lang w:val="uk-UA"/>
              </w:rPr>
            </w:pPr>
            <w:r w:rsidRPr="00613D2D">
              <w:rPr>
                <w:rFonts w:ascii="Cambria" w:hAnsi="Cambria" w:cs="Times New Roman"/>
                <w:b/>
                <w:bCs/>
                <w:sz w:val="28"/>
                <w:szCs w:val="28"/>
                <w:lang w:val="uk-UA"/>
              </w:rPr>
              <w:t>Загрози</w:t>
            </w:r>
          </w:p>
        </w:tc>
      </w:tr>
      <w:tr w:rsidR="00613D2D" w:rsidRPr="00D9392E" w14:paraId="41A3B0E1" w14:textId="77777777" w:rsidTr="007900C7">
        <w:tc>
          <w:tcPr>
            <w:tcW w:w="5524" w:type="dxa"/>
          </w:tcPr>
          <w:p w14:paraId="32E94B90" w14:textId="77777777" w:rsidR="00D9392E"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Політичні перспективи: </w:t>
            </w:r>
          </w:p>
          <w:p w14:paraId="5101A8B7" w14:textId="77777777" w:rsidR="00D9392E"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встановлення стабільної політичної системи; </w:t>
            </w:r>
          </w:p>
          <w:p w14:paraId="205C1B7A" w14:textId="77777777" w:rsidR="00D9392E"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зменшення корупції; </w:t>
            </w:r>
          </w:p>
          <w:p w14:paraId="201C15AD" w14:textId="77777777" w:rsidR="00D9392E"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сприйняття України як важливого суб’єкта політичних відносин; </w:t>
            </w:r>
          </w:p>
          <w:p w14:paraId="0A24A619" w14:textId="0896E6AC" w:rsidR="00613D2D"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активізація співробітництва у боротьбі з організованою злочинністю, контрабандою, нелегальною міграцією, наркобізнесом.</w:t>
            </w:r>
          </w:p>
        </w:tc>
        <w:tc>
          <w:tcPr>
            <w:tcW w:w="3821" w:type="dxa"/>
            <w:gridSpan w:val="2"/>
          </w:tcPr>
          <w:p w14:paraId="50971D03" w14:textId="77777777" w:rsidR="00D9392E"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Політичні загрози: </w:t>
            </w:r>
          </w:p>
          <w:p w14:paraId="3B04C91A" w14:textId="7078425F" w:rsidR="00613D2D"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небезпека втягнення України в конфлікт цивілізацій між Заходом і мусульманським світом.</w:t>
            </w:r>
          </w:p>
        </w:tc>
      </w:tr>
      <w:tr w:rsidR="00613D2D" w:rsidRPr="00D9392E" w14:paraId="6B9189FA" w14:textId="77777777" w:rsidTr="007900C7">
        <w:tc>
          <w:tcPr>
            <w:tcW w:w="5524" w:type="dxa"/>
          </w:tcPr>
          <w:p w14:paraId="70135C13" w14:textId="77777777" w:rsidR="00BE0FD0"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Економічні перспективи: </w:t>
            </w:r>
          </w:p>
          <w:p w14:paraId="3764775A" w14:textId="77777777" w:rsidR="00BE0FD0"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забезпечення розвитку малого та середнього бізнесу; </w:t>
            </w:r>
          </w:p>
          <w:p w14:paraId="4C2DC93B" w14:textId="77777777" w:rsidR="00BE0FD0"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упровадження стандартів ЄС у виробництві; </w:t>
            </w:r>
          </w:p>
          <w:p w14:paraId="3DECD4BB" w14:textId="77777777" w:rsidR="00BE0FD0"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уніфікація цін на енергоносії; </w:t>
            </w:r>
          </w:p>
          <w:p w14:paraId="3C32E0AF"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lastRenderedPageBreak/>
              <w:t xml:space="preserve">– транспортні перевезення в рамках країн-учасниць; </w:t>
            </w:r>
          </w:p>
          <w:p w14:paraId="3A63C4CF"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вихід на ринок ЄС; </w:t>
            </w:r>
          </w:p>
          <w:p w14:paraId="35B47FC0"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підвищення конкурентної спроможності вітчизняного товаровиробника; </w:t>
            </w:r>
          </w:p>
          <w:p w14:paraId="52E9DCF3"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підвищення кваліфікації робочої сили; </w:t>
            </w:r>
          </w:p>
          <w:p w14:paraId="34B936CD"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надання пріоритетів інтелектуальним інвестиціям у високі технології; </w:t>
            </w:r>
          </w:p>
          <w:p w14:paraId="6FCACAAC" w14:textId="70CE4851" w:rsidR="00613D2D"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використання фондів регіонального розвитку ЄС для прискореного виходу на вищий рівень економічного розвитку стосовно країн Євросоюзу.</w:t>
            </w:r>
          </w:p>
        </w:tc>
        <w:tc>
          <w:tcPr>
            <w:tcW w:w="3821" w:type="dxa"/>
            <w:gridSpan w:val="2"/>
          </w:tcPr>
          <w:p w14:paraId="59D1AD8D"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lastRenderedPageBreak/>
              <w:t xml:space="preserve">Економічні загрози: </w:t>
            </w:r>
          </w:p>
          <w:p w14:paraId="664B43C2"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переміщення до України шкідливих виробництв; </w:t>
            </w:r>
          </w:p>
          <w:p w14:paraId="15E0D2F0"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lastRenderedPageBreak/>
              <w:t xml:space="preserve">– використання дешевої ресурсно-сировинної бази України; </w:t>
            </w:r>
          </w:p>
          <w:p w14:paraId="0E8A4DCF"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скорочення обсягів традиційного українського експорту до ЄС; </w:t>
            </w:r>
          </w:p>
          <w:p w14:paraId="70240761"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використання дешевої робочої сили України; </w:t>
            </w:r>
          </w:p>
          <w:p w14:paraId="6659A248" w14:textId="77777777" w:rsidR="000A036B"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витіснення національних товаровиробників із внутрішнього ринку; </w:t>
            </w:r>
          </w:p>
          <w:p w14:paraId="51CE1F3F" w14:textId="313C035C" w:rsidR="00613D2D" w:rsidRPr="00D9392E" w:rsidRDefault="00D9392E" w:rsidP="00FC6AA8">
            <w:pPr>
              <w:jc w:val="both"/>
              <w:rPr>
                <w:rFonts w:ascii="Cambria" w:hAnsi="Cambria" w:cs="Times New Roman"/>
                <w:sz w:val="24"/>
                <w:szCs w:val="24"/>
                <w:lang w:val="uk-UA"/>
              </w:rPr>
            </w:pPr>
            <w:r w:rsidRPr="00D9392E">
              <w:rPr>
                <w:rFonts w:ascii="Cambria" w:hAnsi="Cambria" w:cs="Times New Roman"/>
                <w:sz w:val="24"/>
                <w:szCs w:val="24"/>
                <w:lang w:val="uk-UA"/>
              </w:rPr>
              <w:t xml:space="preserve">– високі європейські ціни. </w:t>
            </w:r>
          </w:p>
        </w:tc>
      </w:tr>
      <w:tr w:rsidR="00613D2D" w:rsidRPr="007900C7" w14:paraId="4C35150C" w14:textId="77777777" w:rsidTr="007900C7">
        <w:tc>
          <w:tcPr>
            <w:tcW w:w="5524" w:type="dxa"/>
          </w:tcPr>
          <w:p w14:paraId="24C604CE" w14:textId="40857973" w:rsidR="007900C7" w:rsidRPr="007900C7" w:rsidRDefault="007900C7" w:rsidP="00FC6AA8">
            <w:pPr>
              <w:jc w:val="both"/>
              <w:rPr>
                <w:rFonts w:ascii="Cambria" w:hAnsi="Cambria" w:cs="Times New Roman"/>
                <w:sz w:val="24"/>
                <w:szCs w:val="24"/>
                <w:lang w:val="uk-UA"/>
              </w:rPr>
            </w:pPr>
            <w:r w:rsidRPr="007900C7">
              <w:rPr>
                <w:rFonts w:ascii="Cambria" w:hAnsi="Cambria" w:cs="Times New Roman"/>
                <w:sz w:val="24"/>
                <w:szCs w:val="24"/>
                <w:lang w:val="uk-UA"/>
              </w:rPr>
              <w:lastRenderedPageBreak/>
              <w:t xml:space="preserve">Соціальні перспективи: </w:t>
            </w:r>
          </w:p>
          <w:p w14:paraId="02DA0521" w14:textId="77777777" w:rsidR="007900C7" w:rsidRPr="007900C7" w:rsidRDefault="007900C7" w:rsidP="00FC6AA8">
            <w:pPr>
              <w:jc w:val="both"/>
              <w:rPr>
                <w:rFonts w:ascii="Cambria" w:hAnsi="Cambria" w:cs="Times New Roman"/>
                <w:sz w:val="24"/>
                <w:szCs w:val="24"/>
                <w:lang w:val="uk-UA"/>
              </w:rPr>
            </w:pPr>
            <w:r w:rsidRPr="007900C7">
              <w:rPr>
                <w:rFonts w:ascii="Cambria" w:hAnsi="Cambria" w:cs="Times New Roman"/>
                <w:sz w:val="24"/>
                <w:szCs w:val="24"/>
                <w:lang w:val="uk-UA"/>
              </w:rPr>
              <w:t xml:space="preserve">– формування середнього класу; </w:t>
            </w:r>
          </w:p>
          <w:p w14:paraId="7BB9925A" w14:textId="77777777" w:rsidR="007900C7" w:rsidRPr="007900C7" w:rsidRDefault="007900C7" w:rsidP="00FC6AA8">
            <w:pPr>
              <w:jc w:val="both"/>
              <w:rPr>
                <w:rFonts w:ascii="Cambria" w:hAnsi="Cambria" w:cs="Times New Roman"/>
                <w:sz w:val="24"/>
                <w:szCs w:val="24"/>
                <w:lang w:val="uk-UA"/>
              </w:rPr>
            </w:pPr>
            <w:r w:rsidRPr="007900C7">
              <w:rPr>
                <w:rFonts w:ascii="Cambria" w:hAnsi="Cambria" w:cs="Times New Roman"/>
                <w:sz w:val="24"/>
                <w:szCs w:val="24"/>
                <w:lang w:val="uk-UA"/>
              </w:rPr>
              <w:t>– права на вільне працевлаштування;</w:t>
            </w:r>
          </w:p>
          <w:p w14:paraId="0FB187FA" w14:textId="77777777" w:rsidR="007900C7" w:rsidRPr="007900C7" w:rsidRDefault="007900C7" w:rsidP="00FC6AA8">
            <w:pPr>
              <w:jc w:val="both"/>
              <w:rPr>
                <w:rFonts w:ascii="Cambria" w:hAnsi="Cambria" w:cs="Times New Roman"/>
                <w:sz w:val="24"/>
                <w:szCs w:val="24"/>
                <w:lang w:val="uk-UA"/>
              </w:rPr>
            </w:pPr>
            <w:r w:rsidRPr="007900C7">
              <w:rPr>
                <w:rFonts w:ascii="Cambria" w:hAnsi="Cambria" w:cs="Times New Roman"/>
                <w:sz w:val="24"/>
                <w:szCs w:val="24"/>
                <w:lang w:val="uk-UA"/>
              </w:rPr>
              <w:t xml:space="preserve">– адекватна оплата та безпека праці; </w:t>
            </w:r>
          </w:p>
          <w:p w14:paraId="095984C5" w14:textId="77777777" w:rsidR="007900C7" w:rsidRPr="007900C7" w:rsidRDefault="007900C7" w:rsidP="00FC6AA8">
            <w:pPr>
              <w:jc w:val="both"/>
              <w:rPr>
                <w:rFonts w:ascii="Cambria" w:hAnsi="Cambria" w:cs="Times New Roman"/>
                <w:sz w:val="24"/>
                <w:szCs w:val="24"/>
                <w:lang w:val="uk-UA"/>
              </w:rPr>
            </w:pPr>
            <w:r w:rsidRPr="007900C7">
              <w:rPr>
                <w:rFonts w:ascii="Cambria" w:hAnsi="Cambria" w:cs="Times New Roman"/>
                <w:sz w:val="24"/>
                <w:szCs w:val="24"/>
                <w:lang w:val="uk-UA"/>
              </w:rPr>
              <w:t xml:space="preserve">– реформування освіти, охорони здоров’я, соціального захисту; </w:t>
            </w:r>
          </w:p>
          <w:p w14:paraId="48849C79" w14:textId="28BA2CE8" w:rsidR="00613D2D" w:rsidRPr="007900C7" w:rsidRDefault="007900C7" w:rsidP="00FC6AA8">
            <w:pPr>
              <w:jc w:val="both"/>
              <w:rPr>
                <w:rFonts w:ascii="Cambria" w:hAnsi="Cambria" w:cs="Times New Roman"/>
                <w:sz w:val="24"/>
                <w:szCs w:val="24"/>
                <w:lang w:val="uk-UA"/>
              </w:rPr>
            </w:pPr>
            <w:r w:rsidRPr="007900C7">
              <w:rPr>
                <w:rFonts w:ascii="Cambria" w:hAnsi="Cambria" w:cs="Times New Roman"/>
                <w:sz w:val="24"/>
                <w:szCs w:val="24"/>
                <w:lang w:val="uk-UA"/>
              </w:rPr>
              <w:t>– соціальне партнерство між урядом, бізнесом та робітниками.</w:t>
            </w:r>
          </w:p>
        </w:tc>
        <w:tc>
          <w:tcPr>
            <w:tcW w:w="3821" w:type="dxa"/>
            <w:gridSpan w:val="2"/>
          </w:tcPr>
          <w:p w14:paraId="58B7EB5E" w14:textId="77777777" w:rsidR="007900C7" w:rsidRPr="007900C7" w:rsidRDefault="007900C7" w:rsidP="007900C7">
            <w:pPr>
              <w:jc w:val="both"/>
              <w:rPr>
                <w:rFonts w:ascii="Cambria" w:hAnsi="Cambria" w:cs="Times New Roman"/>
                <w:sz w:val="24"/>
                <w:szCs w:val="24"/>
                <w:lang w:val="uk-UA"/>
              </w:rPr>
            </w:pPr>
            <w:r w:rsidRPr="007900C7">
              <w:rPr>
                <w:rFonts w:ascii="Cambria" w:hAnsi="Cambria" w:cs="Times New Roman"/>
                <w:sz w:val="24"/>
                <w:szCs w:val="24"/>
                <w:lang w:val="uk-UA"/>
              </w:rPr>
              <w:t xml:space="preserve">Соціальні загрози: </w:t>
            </w:r>
          </w:p>
          <w:p w14:paraId="3AE5DFDD" w14:textId="77777777" w:rsidR="007900C7" w:rsidRPr="007900C7" w:rsidRDefault="007900C7" w:rsidP="007900C7">
            <w:pPr>
              <w:jc w:val="both"/>
              <w:rPr>
                <w:rFonts w:ascii="Cambria" w:hAnsi="Cambria" w:cs="Times New Roman"/>
                <w:sz w:val="24"/>
                <w:szCs w:val="24"/>
                <w:lang w:val="uk-UA"/>
              </w:rPr>
            </w:pPr>
            <w:r w:rsidRPr="007900C7">
              <w:rPr>
                <w:rFonts w:ascii="Cambria" w:hAnsi="Cambria" w:cs="Times New Roman"/>
                <w:sz w:val="24"/>
                <w:szCs w:val="24"/>
                <w:lang w:val="uk-UA"/>
              </w:rPr>
              <w:t xml:space="preserve">– поглиблення демографічного спаду; </w:t>
            </w:r>
          </w:p>
          <w:p w14:paraId="24435A53" w14:textId="77777777" w:rsidR="007900C7" w:rsidRPr="007900C7" w:rsidRDefault="007900C7" w:rsidP="007900C7">
            <w:pPr>
              <w:jc w:val="both"/>
              <w:rPr>
                <w:rFonts w:ascii="Cambria" w:hAnsi="Cambria" w:cs="Times New Roman"/>
                <w:sz w:val="24"/>
                <w:szCs w:val="24"/>
                <w:lang w:val="uk-UA"/>
              </w:rPr>
            </w:pPr>
            <w:r w:rsidRPr="007900C7">
              <w:rPr>
                <w:rFonts w:ascii="Cambria" w:hAnsi="Cambria" w:cs="Times New Roman"/>
                <w:sz w:val="24"/>
                <w:szCs w:val="24"/>
                <w:lang w:val="uk-UA"/>
              </w:rPr>
              <w:t xml:space="preserve">– незаконна міграція населення та відплив кадрів; </w:t>
            </w:r>
          </w:p>
          <w:p w14:paraId="54ED2C6B" w14:textId="1FCA058B" w:rsidR="007900C7" w:rsidRPr="007900C7" w:rsidRDefault="007900C7" w:rsidP="007900C7">
            <w:pPr>
              <w:jc w:val="both"/>
              <w:rPr>
                <w:rFonts w:ascii="Cambria" w:hAnsi="Cambria" w:cs="Times New Roman"/>
                <w:sz w:val="24"/>
                <w:szCs w:val="24"/>
                <w:lang w:val="uk-UA"/>
              </w:rPr>
            </w:pPr>
            <w:r w:rsidRPr="007900C7">
              <w:rPr>
                <w:rFonts w:ascii="Cambria" w:hAnsi="Cambria" w:cs="Times New Roman"/>
                <w:sz w:val="24"/>
                <w:szCs w:val="24"/>
                <w:lang w:val="uk-UA"/>
              </w:rPr>
              <w:t>– зростання безробіття.</w:t>
            </w:r>
          </w:p>
          <w:p w14:paraId="2273B6B5" w14:textId="77777777" w:rsidR="00613D2D" w:rsidRPr="007900C7" w:rsidRDefault="00613D2D" w:rsidP="00FC6AA8">
            <w:pPr>
              <w:jc w:val="both"/>
              <w:rPr>
                <w:rFonts w:ascii="Cambria" w:hAnsi="Cambria" w:cs="Times New Roman"/>
                <w:sz w:val="24"/>
                <w:szCs w:val="24"/>
                <w:lang w:val="uk-UA"/>
              </w:rPr>
            </w:pPr>
          </w:p>
        </w:tc>
      </w:tr>
    </w:tbl>
    <w:p w14:paraId="05612785" w14:textId="4511AE40" w:rsidR="00166A9F" w:rsidRDefault="00166A9F" w:rsidP="00166A9F">
      <w:pPr>
        <w:spacing w:after="0" w:line="240" w:lineRule="auto"/>
        <w:jc w:val="both"/>
        <w:rPr>
          <w:rFonts w:ascii="Cambria" w:hAnsi="Cambria" w:cs="Times New Roman"/>
          <w:sz w:val="28"/>
          <w:szCs w:val="28"/>
          <w:lang w:val="uk-UA"/>
        </w:rPr>
      </w:pPr>
    </w:p>
    <w:p w14:paraId="5256A2E4" w14:textId="55182A4B" w:rsidR="00613D2D" w:rsidRPr="00C363F9" w:rsidRDefault="00C363F9" w:rsidP="00C363F9">
      <w:pPr>
        <w:pStyle w:val="a4"/>
        <w:numPr>
          <w:ilvl w:val="0"/>
          <w:numId w:val="7"/>
        </w:numPr>
        <w:spacing w:after="0" w:line="240" w:lineRule="auto"/>
        <w:jc w:val="both"/>
        <w:rPr>
          <w:rFonts w:ascii="Cambria" w:hAnsi="Cambria" w:cs="Times New Roman"/>
          <w:b/>
          <w:bCs/>
          <w:i/>
          <w:iCs/>
          <w:sz w:val="28"/>
          <w:szCs w:val="28"/>
          <w:lang w:val="uk-UA"/>
        </w:rPr>
      </w:pPr>
      <w:bookmarkStart w:id="2" w:name="_Hlk210414371"/>
      <w:r w:rsidRPr="00C363F9">
        <w:rPr>
          <w:rFonts w:ascii="Cambria" w:hAnsi="Cambria" w:cs="Times New Roman"/>
          <w:b/>
          <w:bCs/>
          <w:i/>
          <w:iCs/>
          <w:sz w:val="28"/>
          <w:szCs w:val="28"/>
          <w:lang w:val="uk-UA"/>
        </w:rPr>
        <w:t>Переваги України від Євроінтеграції.</w:t>
      </w:r>
    </w:p>
    <w:bookmarkEnd w:id="2"/>
    <w:p w14:paraId="2F3949F3" w14:textId="77777777" w:rsidR="007900C7" w:rsidRDefault="00C342B2" w:rsidP="00166A9F">
      <w:pPr>
        <w:spacing w:after="0" w:line="240" w:lineRule="auto"/>
        <w:jc w:val="both"/>
        <w:rPr>
          <w:rFonts w:ascii="Cambria" w:hAnsi="Cambria" w:cs="Times New Roman"/>
          <w:sz w:val="28"/>
          <w:szCs w:val="28"/>
          <w:lang w:val="uk-UA"/>
        </w:rPr>
      </w:pPr>
      <w:r w:rsidRPr="007900C7">
        <w:rPr>
          <w:rFonts w:ascii="Cambria" w:hAnsi="Cambria" w:cs="Times New Roman"/>
          <w:sz w:val="28"/>
          <w:szCs w:val="28"/>
          <w:lang w:val="uk-UA"/>
        </w:rPr>
        <w:t xml:space="preserve">Переваги України від інтеграції до ЄС зводяться до такого: </w:t>
      </w:r>
    </w:p>
    <w:p w14:paraId="1EDAB902" w14:textId="77F1313C" w:rsidR="007900C7" w:rsidRPr="007900C7" w:rsidRDefault="00C342B2" w:rsidP="007900C7">
      <w:pPr>
        <w:pStyle w:val="a4"/>
        <w:numPr>
          <w:ilvl w:val="0"/>
          <w:numId w:val="5"/>
        </w:numPr>
        <w:spacing w:after="0" w:line="240" w:lineRule="auto"/>
        <w:jc w:val="both"/>
        <w:rPr>
          <w:rFonts w:ascii="Cambria" w:hAnsi="Cambria" w:cs="Times New Roman"/>
          <w:sz w:val="28"/>
          <w:szCs w:val="28"/>
          <w:lang w:val="uk-UA"/>
        </w:rPr>
      </w:pPr>
      <w:r w:rsidRPr="007900C7">
        <w:rPr>
          <w:rFonts w:ascii="Cambria" w:hAnsi="Cambria" w:cs="Times New Roman"/>
          <w:i/>
          <w:iCs/>
          <w:sz w:val="28"/>
          <w:szCs w:val="28"/>
          <w:lang w:val="uk-UA"/>
        </w:rPr>
        <w:t>політичні вигоди</w:t>
      </w:r>
      <w:r w:rsidRPr="007900C7">
        <w:rPr>
          <w:rFonts w:ascii="Cambria" w:hAnsi="Cambria" w:cs="Times New Roman"/>
          <w:sz w:val="28"/>
          <w:szCs w:val="28"/>
          <w:lang w:val="uk-UA"/>
        </w:rPr>
        <w:t xml:space="preserve"> – будучи членом ЄС, Україна буде залучена до Спільної європейської політики безпеки та оборони (СЄПБО), яка гарантуватиме Україні державний суверенітет та територіальну недоторканість; </w:t>
      </w:r>
    </w:p>
    <w:p w14:paraId="31B5EC07" w14:textId="77777777" w:rsidR="007900C7" w:rsidRDefault="00C342B2" w:rsidP="007900C7">
      <w:pPr>
        <w:pStyle w:val="a4"/>
        <w:numPr>
          <w:ilvl w:val="0"/>
          <w:numId w:val="5"/>
        </w:numPr>
        <w:spacing w:after="0" w:line="240" w:lineRule="auto"/>
        <w:jc w:val="both"/>
        <w:rPr>
          <w:rFonts w:ascii="Cambria" w:hAnsi="Cambria" w:cs="Times New Roman"/>
          <w:sz w:val="28"/>
          <w:szCs w:val="28"/>
          <w:lang w:val="uk-UA"/>
        </w:rPr>
      </w:pPr>
      <w:r w:rsidRPr="007900C7">
        <w:rPr>
          <w:rFonts w:ascii="Cambria" w:hAnsi="Cambria" w:cs="Times New Roman"/>
          <w:sz w:val="28"/>
          <w:szCs w:val="28"/>
          <w:lang w:val="uk-UA"/>
        </w:rPr>
        <w:t xml:space="preserve">Європа готова скасувати майже всі мита (98%) для українських товарів, зокрема: від ввізних мит звільняється 83% всієї сільськогосподарської продукції, яка постачається до країн-членів ЄС, а також майже всі промислові товари (94,7%). </w:t>
      </w:r>
    </w:p>
    <w:p w14:paraId="306E6788" w14:textId="77777777" w:rsidR="007900C7" w:rsidRDefault="00C342B2" w:rsidP="007900C7">
      <w:pPr>
        <w:spacing w:after="0" w:line="240" w:lineRule="auto"/>
        <w:ind w:firstLine="709"/>
        <w:jc w:val="both"/>
        <w:rPr>
          <w:rFonts w:ascii="Cambria" w:hAnsi="Cambria" w:cs="Times New Roman"/>
          <w:sz w:val="28"/>
          <w:szCs w:val="28"/>
          <w:lang w:val="uk-UA"/>
        </w:rPr>
      </w:pPr>
      <w:r w:rsidRPr="007900C7">
        <w:rPr>
          <w:rFonts w:ascii="Cambria" w:hAnsi="Cambria" w:cs="Times New Roman"/>
          <w:sz w:val="28"/>
          <w:szCs w:val="28"/>
          <w:lang w:val="uk-UA"/>
        </w:rPr>
        <w:t xml:space="preserve">Натомість Україна не буде зменшувати мита для імпорту з ЄС, але змушена гарантувати, що впродовж відповідного періоду вона за жодних обставин не змінить свої тарифи щодо європейських товарів. Негайні преференції отримає 83,4% українського експорту у сфері переробної промисловості з виробництва харчових продуктів. </w:t>
      </w:r>
    </w:p>
    <w:p w14:paraId="44854900" w14:textId="77777777" w:rsidR="007900C7" w:rsidRDefault="00C342B2" w:rsidP="007900C7">
      <w:pPr>
        <w:spacing w:after="0" w:line="240" w:lineRule="auto"/>
        <w:ind w:firstLine="709"/>
        <w:jc w:val="both"/>
        <w:rPr>
          <w:rFonts w:ascii="Cambria" w:hAnsi="Cambria" w:cs="Times New Roman"/>
          <w:sz w:val="28"/>
          <w:szCs w:val="28"/>
          <w:lang w:val="uk-UA"/>
        </w:rPr>
      </w:pPr>
      <w:r w:rsidRPr="007900C7">
        <w:rPr>
          <w:rFonts w:ascii="Cambria" w:hAnsi="Cambria" w:cs="Times New Roman"/>
          <w:sz w:val="28"/>
          <w:szCs w:val="28"/>
          <w:lang w:val="uk-UA"/>
        </w:rPr>
        <w:t xml:space="preserve">Решта продукції частково лібералізуватиметься через тарифні квоти. За оцінками Європейської Комісії, угода про вільну торгівлю може заощадити Україні близько 500 млн. євро в рік на митах. </w:t>
      </w:r>
    </w:p>
    <w:p w14:paraId="5C43861B" w14:textId="77777777" w:rsidR="007900C7" w:rsidRDefault="00C342B2" w:rsidP="007900C7">
      <w:pPr>
        <w:pStyle w:val="a4"/>
        <w:numPr>
          <w:ilvl w:val="0"/>
          <w:numId w:val="6"/>
        </w:numPr>
        <w:spacing w:after="0" w:line="240" w:lineRule="auto"/>
        <w:ind w:left="709"/>
        <w:jc w:val="both"/>
        <w:rPr>
          <w:rFonts w:ascii="Cambria" w:hAnsi="Cambria" w:cs="Times New Roman"/>
          <w:sz w:val="28"/>
          <w:szCs w:val="28"/>
          <w:lang w:val="uk-UA"/>
        </w:rPr>
      </w:pPr>
      <w:r w:rsidRPr="007900C7">
        <w:rPr>
          <w:rFonts w:ascii="Cambria" w:hAnsi="Cambria" w:cs="Times New Roman"/>
          <w:sz w:val="28"/>
          <w:szCs w:val="28"/>
          <w:lang w:val="uk-UA"/>
        </w:rPr>
        <w:t xml:space="preserve">Українські експортери отримають конкурентну перевагу, бо зможуть запропонувати свою продукцію європейцям дешевше, ніж зараз; </w:t>
      </w:r>
    </w:p>
    <w:p w14:paraId="62FE51A8" w14:textId="77777777" w:rsidR="000E691E" w:rsidRDefault="00C342B2" w:rsidP="007900C7">
      <w:pPr>
        <w:pStyle w:val="a4"/>
        <w:numPr>
          <w:ilvl w:val="0"/>
          <w:numId w:val="6"/>
        </w:numPr>
        <w:spacing w:after="0" w:line="240" w:lineRule="auto"/>
        <w:ind w:left="709"/>
        <w:jc w:val="both"/>
        <w:rPr>
          <w:rFonts w:ascii="Cambria" w:hAnsi="Cambria" w:cs="Times New Roman"/>
          <w:sz w:val="28"/>
          <w:szCs w:val="28"/>
          <w:lang w:val="uk-UA"/>
        </w:rPr>
      </w:pPr>
      <w:r w:rsidRPr="007900C7">
        <w:rPr>
          <w:rFonts w:ascii="Cambria" w:hAnsi="Cambria" w:cs="Times New Roman"/>
          <w:sz w:val="28"/>
          <w:szCs w:val="28"/>
          <w:lang w:val="uk-UA"/>
        </w:rPr>
        <w:t xml:space="preserve">Європейський Союз зобов’язався відкрити більшість своїх ринків відразу. 23 квітня поточного року ЄС в односторонньому порядку прийняв рішення про відкриття свого ринку для українських товарів у рамках автономного преференційного торговельного </w:t>
      </w:r>
      <w:r w:rsidRPr="007900C7">
        <w:rPr>
          <w:rFonts w:ascii="Cambria" w:hAnsi="Cambria" w:cs="Times New Roman"/>
          <w:sz w:val="28"/>
          <w:szCs w:val="28"/>
          <w:lang w:val="uk-UA"/>
        </w:rPr>
        <w:lastRenderedPageBreak/>
        <w:t>режиму між Україною та ЄС. Передбачається тимчасове одностороннє обнулення ввізних мит для українських товарів у рамках Екстрених заходів підтримки кризової</w:t>
      </w:r>
      <w:r w:rsidRPr="007900C7">
        <w:rPr>
          <w:rFonts w:ascii="Cambria" w:hAnsi="Cambria" w:cs="Times New Roman"/>
          <w:sz w:val="28"/>
          <w:szCs w:val="28"/>
        </w:rPr>
        <w:t xml:space="preserve"> економіки країни до 1 листопада поточного року. Відповідні заходи </w:t>
      </w:r>
      <w:r w:rsidRPr="007900C7">
        <w:rPr>
          <w:rFonts w:ascii="Cambria" w:hAnsi="Cambria" w:cs="Times New Roman"/>
          <w:sz w:val="28"/>
          <w:szCs w:val="28"/>
          <w:lang w:val="uk-UA"/>
        </w:rPr>
        <w:t xml:space="preserve">мають на меті стимулювати вітчизняних промисловців до поставки своїх товарів на європейський ринок. Однак дорога до Європи відкриється тільки тим виробникам, які виготовляють продукцію європейської якості, вже модернізували виробництво, збудували необхідні лабораторії та отримали європейський сертифікат якості. </w:t>
      </w:r>
    </w:p>
    <w:p w14:paraId="16DC375F" w14:textId="77777777" w:rsidR="000E691E"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До прикладу, право на постачання курятини до ЄС вже отримали кілька вітчизняних підприємств, серед них: «Миронівська птахофабрика» (торговельний бренд «Наша Ряба»), «Миронівський м’ясопереробний завод «Легко», «Птахофабрика Снятинська Нова» (агрохолдинг МПХ, спеціалізується на випуску гусячого м’яса та печінки) та «Агромарс» (торговельна марка «Гаврилівські курчата». З підписанням Угоди ЄС готовий буде скасувати мито на м’ясо птиці в межах квоти 40 тис. т.; </w:t>
      </w:r>
    </w:p>
    <w:p w14:paraId="7ECA6FA2"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w:t>
      </w:r>
      <w:r w:rsidRPr="00E522AD">
        <w:rPr>
          <w:rFonts w:ascii="Cambria" w:hAnsi="Cambria" w:cs="Times New Roman"/>
          <w:b/>
          <w:bCs/>
          <w:i/>
          <w:iCs/>
          <w:sz w:val="28"/>
          <w:szCs w:val="28"/>
          <w:lang w:val="uk-UA"/>
        </w:rPr>
        <w:t>надання переваг для малого та середнього бізнесу.</w:t>
      </w:r>
      <w:r w:rsidRPr="000E691E">
        <w:rPr>
          <w:rFonts w:ascii="Cambria" w:hAnsi="Cambria" w:cs="Times New Roman"/>
          <w:sz w:val="28"/>
          <w:szCs w:val="28"/>
          <w:lang w:val="uk-UA"/>
        </w:rPr>
        <w:t xml:space="preserve"> В Україні знову стане вигідно виробляти товари. Підписання Угоди про асоціацію з ЄС заохочує бізнес працювати чесно. Так, торгівці отримають зниження мит на імпортовані товари до нуля протягом п’яти років. У свою чергу, митниця не зможе змінювати категорію товару, щоб збільшити митні платежі. Слід очікувати і на спрощення процедури проходження митного контролю. Для експортерів спрощується процедура сплати і повернення ПДВ. Українські виробники зможуть збільшити власне виробництво. Зокрема, безпечна продукція не буде сертифікуватися взагалі, а товари, які становлять загрозу або створені для дітей, будуть більше контролюватися. Також суттєво зменшиться після підписання асоціації з ЄС кількість перевірок та документації для контролерів; </w:t>
      </w:r>
    </w:p>
    <w:p w14:paraId="54244485"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w:t>
      </w:r>
      <w:r w:rsidRPr="00E522AD">
        <w:rPr>
          <w:rFonts w:ascii="Cambria" w:hAnsi="Cambria" w:cs="Times New Roman"/>
          <w:b/>
          <w:bCs/>
          <w:i/>
          <w:iCs/>
          <w:sz w:val="28"/>
          <w:szCs w:val="28"/>
          <w:lang w:val="uk-UA"/>
        </w:rPr>
        <w:t>підвищення соціальної політики та освіти.</w:t>
      </w:r>
      <w:r w:rsidRPr="000E691E">
        <w:rPr>
          <w:rFonts w:ascii="Cambria" w:hAnsi="Cambria" w:cs="Times New Roman"/>
          <w:sz w:val="28"/>
          <w:szCs w:val="28"/>
          <w:lang w:val="uk-UA"/>
        </w:rPr>
        <w:t xml:space="preserve"> Вводяться додаткові чотири дні відпустки. Забороняється платити жінкам менше, ніж чоловікам. Вдосконалюється система первинної медичної допомоги. Українські дипломи і кваліфікації для допуску до роботи визнаватимуться в ЄС. Угода про асоціацію гарантує, що соціальні умови та гарантії не стануть гіршими. Освіта відповідатиме європейським стандартам. Продовжуватиметься впровадження Болонського процесу. Навчальні програми у вузах та ПТУ України будуть співмірними з програмами у вузах ЄС. Українські дипломи і кваліфікації для допуску до роботи визнаватимуться у ЄС. Вдосконалюватиметься система первинної медичної допомоги тощо; </w:t>
      </w:r>
    </w:p>
    <w:p w14:paraId="66337DE2"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w:t>
      </w:r>
      <w:r w:rsidRPr="00E522AD">
        <w:rPr>
          <w:rFonts w:ascii="Cambria" w:hAnsi="Cambria" w:cs="Times New Roman"/>
          <w:b/>
          <w:bCs/>
          <w:i/>
          <w:iCs/>
          <w:sz w:val="28"/>
          <w:szCs w:val="28"/>
          <w:lang w:val="uk-UA"/>
        </w:rPr>
        <w:t>посилення науково-технічного співробітництва.</w:t>
      </w:r>
      <w:r w:rsidRPr="000E691E">
        <w:rPr>
          <w:rFonts w:ascii="Cambria" w:hAnsi="Cambria" w:cs="Times New Roman"/>
          <w:sz w:val="28"/>
          <w:szCs w:val="28"/>
          <w:lang w:val="uk-UA"/>
        </w:rPr>
        <w:t xml:space="preserve"> Спільні проекти щодо створення європейської навігаційної системи – конкурента GPS. ЄС користуватиметься нашими технологіями ракетобудування. Українські вчені будуть залучені доєвропейського дослідницького </w:t>
      </w:r>
      <w:r w:rsidRPr="000E691E">
        <w:rPr>
          <w:rFonts w:ascii="Cambria" w:hAnsi="Cambria" w:cs="Times New Roman"/>
          <w:sz w:val="28"/>
          <w:szCs w:val="28"/>
          <w:lang w:val="uk-UA"/>
        </w:rPr>
        <w:lastRenderedPageBreak/>
        <w:t>простору. Стане кращим і активно розвиватиметься 3G Інтернет, збільшиться пропускна</w:t>
      </w:r>
      <w:r w:rsidRPr="000E691E">
        <w:rPr>
          <w:rFonts w:ascii="Cambria" w:hAnsi="Cambria" w:cs="Times New Roman"/>
          <w:sz w:val="28"/>
          <w:szCs w:val="28"/>
        </w:rPr>
        <w:t xml:space="preserve"> </w:t>
      </w:r>
      <w:r w:rsidRPr="000E691E">
        <w:rPr>
          <w:rFonts w:ascii="Cambria" w:hAnsi="Cambria" w:cs="Times New Roman"/>
          <w:sz w:val="28"/>
          <w:szCs w:val="28"/>
          <w:lang w:val="uk-UA"/>
        </w:rPr>
        <w:t xml:space="preserve">здатність мобільного інтернету; </w:t>
      </w:r>
    </w:p>
    <w:p w14:paraId="03DB88B7"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w:t>
      </w:r>
      <w:r w:rsidRPr="00E522AD">
        <w:rPr>
          <w:rFonts w:ascii="Cambria" w:hAnsi="Cambria" w:cs="Times New Roman"/>
          <w:b/>
          <w:bCs/>
          <w:i/>
          <w:iCs/>
          <w:sz w:val="28"/>
          <w:szCs w:val="28"/>
          <w:lang w:val="uk-UA"/>
        </w:rPr>
        <w:t>зменшення корупції.</w:t>
      </w:r>
      <w:r w:rsidRPr="000E691E">
        <w:rPr>
          <w:rFonts w:ascii="Cambria" w:hAnsi="Cambria" w:cs="Times New Roman"/>
          <w:sz w:val="28"/>
          <w:szCs w:val="28"/>
          <w:lang w:val="uk-UA"/>
        </w:rPr>
        <w:t xml:space="preserve"> Кожен розділ Угоди спрямований на боротьбу з корупцією в державній та приватній сферах. Зміни відбудуться в управлінні державними фінансами та плануванні державного бюджету. Зміняться функції КРУ та Рахункової палати; </w:t>
      </w:r>
    </w:p>
    <w:p w14:paraId="0132C786"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Довкілля стане чистішим і безпечнішим. Вводяться нові стандарти якості води і повітря. Україна запровадить сучасну систему контролю за чистотою повітря. Підприємства будуть змушені встановити сучасні очисні споруди, а зіпсована сміттєзвалищами земля буде відновлена. Підприємства за 3-5 років зобов’яжуть вкладати кошти в модернізацію виробництва. Це дозволить контролювати дисперсний пил, який спричиняє рак легенів, а також забруднювачі, які швидко випаровуються. Саме останні призводять до анемії і лейкемії. Щодо виробництва, то власники підприємств отримають право самостійно обирати спосіб зменшення шкідливих викидів. Варто зазначити, що загалом після підписання асоціації з Євросоюзом Україна сама буде визначати час на модернізацію, гроші на яку виділятиме ЄС. Угода також гарантує, що наша держава не стане звалищем небезпечного сміття або базою для шкідливого виробництва. </w:t>
      </w:r>
    </w:p>
    <w:p w14:paraId="39D3BE72"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Проте в існуючій Угоді про асоціацію між Україною та ЄС існують можливі ризики зокрема: </w:t>
      </w:r>
    </w:p>
    <w:p w14:paraId="64B58C36"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w:t>
      </w:r>
      <w:r w:rsidRPr="000A036B">
        <w:rPr>
          <w:rFonts w:ascii="Cambria" w:hAnsi="Cambria" w:cs="Times New Roman"/>
          <w:b/>
          <w:bCs/>
          <w:i/>
          <w:iCs/>
          <w:sz w:val="28"/>
          <w:szCs w:val="28"/>
          <w:lang w:val="uk-UA"/>
        </w:rPr>
        <w:t>тиск на владу</w:t>
      </w:r>
      <w:r w:rsidRPr="000E691E">
        <w:rPr>
          <w:rFonts w:ascii="Cambria" w:hAnsi="Cambria" w:cs="Times New Roman"/>
          <w:sz w:val="28"/>
          <w:szCs w:val="28"/>
          <w:lang w:val="uk-UA"/>
        </w:rPr>
        <w:t xml:space="preserve">. Європейський Союз тиснутиме на Україну, щоб влада втілювала в життя взяті на себе в Угоді зобов’язання. Політичні ризики пов’язані із частковою втратою суверенітету та підпорядкування територій органам ЄС; невизначеність місця України в стратегії розвитку ЄС, негативно вплине на економічний стан, оскільки між країнами ЄС існує висока конкуренція в деяких галузях, що потребує переорієнтування на менш конкурентні напрями діяльності; погіршення взаємин із країнами СНД, а особливо із Росією, зупинить ефективну співпрацю із Митним Союзом Росії, Білорусії та Казахстану; </w:t>
      </w:r>
    </w:p>
    <w:p w14:paraId="1E8EBA59" w14:textId="77777777" w:rsidR="00E522AD"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w:t>
      </w:r>
      <w:r w:rsidRPr="00CD32BF">
        <w:rPr>
          <w:rFonts w:ascii="Cambria" w:hAnsi="Cambria" w:cs="Times New Roman"/>
          <w:b/>
          <w:bCs/>
          <w:i/>
          <w:iCs/>
          <w:sz w:val="28"/>
          <w:szCs w:val="28"/>
          <w:lang w:val="uk-UA"/>
        </w:rPr>
        <w:t>втрата конкурентоспроможності певних галузей,</w:t>
      </w:r>
      <w:r w:rsidRPr="000E691E">
        <w:rPr>
          <w:rFonts w:ascii="Cambria" w:hAnsi="Cambria" w:cs="Times New Roman"/>
          <w:sz w:val="28"/>
          <w:szCs w:val="28"/>
          <w:lang w:val="uk-UA"/>
        </w:rPr>
        <w:t xml:space="preserve"> оскільки економіка не в змозі відповідати всім європейським вимогам та стандартам. До прикладу, 80% продукції машинобудування направляється на експорт, в тому числі до Росії та інших країн Митного союзу – 50-70% залежно від підгалузі. Українські вагони суто через технічні характеристики постачаються лише у країни СНД, оскільки вітчизняні машини та обладнання в ЄС реалізувати досить важко, бо там інші стандарти та гостра конкуренція; </w:t>
      </w:r>
    </w:p>
    <w:p w14:paraId="5FC3E577" w14:textId="77777777" w:rsidR="000A036B" w:rsidRDefault="00C342B2" w:rsidP="000E691E">
      <w:pPr>
        <w:spacing w:after="0" w:line="240" w:lineRule="auto"/>
        <w:ind w:firstLine="709"/>
        <w:jc w:val="both"/>
        <w:rPr>
          <w:rFonts w:ascii="Cambria" w:hAnsi="Cambria" w:cs="Times New Roman"/>
          <w:sz w:val="28"/>
          <w:szCs w:val="28"/>
          <w:lang w:val="uk-UA"/>
        </w:rPr>
      </w:pPr>
      <w:r w:rsidRPr="000E691E">
        <w:rPr>
          <w:rFonts w:ascii="Cambria" w:hAnsi="Cambria" w:cs="Times New Roman"/>
          <w:sz w:val="28"/>
          <w:szCs w:val="28"/>
          <w:lang w:val="uk-UA"/>
        </w:rPr>
        <w:t xml:space="preserve">– економічні недоліки передбачають можливе переміщення до України шкідливих виробництв, використання України як сировинного придатку, використання України як дешевої робочої сили, складність переходу на європейський рівень цін, квотування певних видів товарів. </w:t>
      </w:r>
    </w:p>
    <w:sectPr w:rsidR="000A0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D27DC"/>
    <w:multiLevelType w:val="hybridMultilevel"/>
    <w:tmpl w:val="83FAA25E"/>
    <w:lvl w:ilvl="0" w:tplc="948E7E6C">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 w15:restartNumberingAfterBreak="0">
    <w:nsid w:val="40FB239E"/>
    <w:multiLevelType w:val="hybridMultilevel"/>
    <w:tmpl w:val="542478A6"/>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FC525D"/>
    <w:multiLevelType w:val="hybridMultilevel"/>
    <w:tmpl w:val="203ABD8A"/>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02614BE"/>
    <w:multiLevelType w:val="hybridMultilevel"/>
    <w:tmpl w:val="04AE078A"/>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77E36CE"/>
    <w:multiLevelType w:val="hybridMultilevel"/>
    <w:tmpl w:val="5A5E2786"/>
    <w:lvl w:ilvl="0" w:tplc="85AA6F1E">
      <w:start w:val="2014"/>
      <w:numFmt w:val="bullet"/>
      <w:lvlText w:val="–"/>
      <w:lvlJc w:val="left"/>
      <w:pPr>
        <w:ind w:left="720" w:hanging="360"/>
      </w:pPr>
      <w:rPr>
        <w:rFonts w:ascii="Cambria" w:eastAsiaTheme="minorHAnsi" w:hAnsi="Cambr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85C5217"/>
    <w:multiLevelType w:val="hybridMultilevel"/>
    <w:tmpl w:val="29FE5244"/>
    <w:lvl w:ilvl="0" w:tplc="63EE421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71B925C9"/>
    <w:multiLevelType w:val="hybridMultilevel"/>
    <w:tmpl w:val="78721008"/>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2465859">
    <w:abstractNumId w:val="4"/>
  </w:num>
  <w:num w:numId="2" w16cid:durableId="1061367395">
    <w:abstractNumId w:val="1"/>
  </w:num>
  <w:num w:numId="3" w16cid:durableId="11688964">
    <w:abstractNumId w:val="3"/>
  </w:num>
  <w:num w:numId="4" w16cid:durableId="1264267348">
    <w:abstractNumId w:val="6"/>
  </w:num>
  <w:num w:numId="5" w16cid:durableId="523717201">
    <w:abstractNumId w:val="2"/>
  </w:num>
  <w:num w:numId="6" w16cid:durableId="501970823">
    <w:abstractNumId w:val="5"/>
  </w:num>
  <w:num w:numId="7" w16cid:durableId="14886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F9"/>
    <w:rsid w:val="000A036B"/>
    <w:rsid w:val="000C0509"/>
    <w:rsid w:val="000E691E"/>
    <w:rsid w:val="00166A9F"/>
    <w:rsid w:val="002265D4"/>
    <w:rsid w:val="002D7913"/>
    <w:rsid w:val="002F18F9"/>
    <w:rsid w:val="003B21F9"/>
    <w:rsid w:val="00430911"/>
    <w:rsid w:val="00613D2D"/>
    <w:rsid w:val="00687286"/>
    <w:rsid w:val="007900C7"/>
    <w:rsid w:val="007A73C5"/>
    <w:rsid w:val="0089006D"/>
    <w:rsid w:val="008B106A"/>
    <w:rsid w:val="008B1FD8"/>
    <w:rsid w:val="008B7E98"/>
    <w:rsid w:val="00906761"/>
    <w:rsid w:val="00961919"/>
    <w:rsid w:val="00974C7A"/>
    <w:rsid w:val="00997002"/>
    <w:rsid w:val="00AF1E24"/>
    <w:rsid w:val="00B475F1"/>
    <w:rsid w:val="00B82A47"/>
    <w:rsid w:val="00BE0FD0"/>
    <w:rsid w:val="00C21515"/>
    <w:rsid w:val="00C30086"/>
    <w:rsid w:val="00C342B2"/>
    <w:rsid w:val="00C363F9"/>
    <w:rsid w:val="00CD32BF"/>
    <w:rsid w:val="00D31F34"/>
    <w:rsid w:val="00D51956"/>
    <w:rsid w:val="00D9392E"/>
    <w:rsid w:val="00E26733"/>
    <w:rsid w:val="00E522AD"/>
    <w:rsid w:val="00E742F5"/>
    <w:rsid w:val="00EC60CD"/>
    <w:rsid w:val="00EF3493"/>
    <w:rsid w:val="00F36902"/>
    <w:rsid w:val="00FE0D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F6B5"/>
  <w15:chartTrackingRefBased/>
  <w15:docId w15:val="{3446C41B-1592-47C6-A594-267846B2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3397</Words>
  <Characters>19364</Characters>
  <Application>Microsoft Office Word</Application>
  <DocSecurity>0</DocSecurity>
  <Lines>161</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22</cp:revision>
  <dcterms:created xsi:type="dcterms:W3CDTF">2020-10-12T16:45:00Z</dcterms:created>
  <dcterms:modified xsi:type="dcterms:W3CDTF">2025-10-03T17:13:00Z</dcterms:modified>
</cp:coreProperties>
</file>