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A026" w14:textId="77777777" w:rsidR="00436540" w:rsidRPr="00513C3B" w:rsidRDefault="000F0D93" w:rsidP="00513C3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513C3B">
        <w:rPr>
          <w:rFonts w:asciiTheme="majorHAnsi" w:hAnsiTheme="majorHAnsi"/>
          <w:b/>
          <w:i/>
          <w:sz w:val="28"/>
          <w:szCs w:val="28"/>
          <w:lang w:val="uk-UA"/>
        </w:rPr>
        <w:t>ТЕСТИ</w:t>
      </w:r>
    </w:p>
    <w:p w14:paraId="2CC5E7A8" w14:textId="7B897D99" w:rsidR="00746C0E" w:rsidRPr="00513C3B" w:rsidRDefault="0033525A" w:rsidP="006046DA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513C3B">
        <w:rPr>
          <w:rFonts w:asciiTheme="majorHAnsi" w:hAnsiTheme="majorHAnsi"/>
          <w:b/>
          <w:i/>
          <w:sz w:val="28"/>
          <w:szCs w:val="28"/>
          <w:lang w:val="uk-UA"/>
        </w:rPr>
        <w:t>Визначте вірн</w:t>
      </w:r>
      <w:r w:rsidR="006A4F20" w:rsidRPr="00513C3B">
        <w:rPr>
          <w:rFonts w:asciiTheme="majorHAnsi" w:hAnsiTheme="majorHAnsi"/>
          <w:b/>
          <w:i/>
          <w:sz w:val="28"/>
          <w:szCs w:val="28"/>
          <w:lang w:val="uk-UA"/>
        </w:rPr>
        <w:t>і</w:t>
      </w:r>
      <w:r w:rsidRPr="00513C3B">
        <w:rPr>
          <w:rFonts w:asciiTheme="majorHAnsi" w:hAnsiTheme="majorHAnsi"/>
          <w:b/>
          <w:i/>
          <w:sz w:val="28"/>
          <w:szCs w:val="28"/>
          <w:lang w:val="uk-UA"/>
        </w:rPr>
        <w:t xml:space="preserve"> відповід</w:t>
      </w:r>
      <w:r w:rsidR="006A4F20" w:rsidRPr="00513C3B">
        <w:rPr>
          <w:rFonts w:asciiTheme="majorHAnsi" w:hAnsiTheme="majorHAnsi"/>
          <w:b/>
          <w:i/>
          <w:sz w:val="28"/>
          <w:szCs w:val="28"/>
          <w:lang w:val="uk-UA"/>
        </w:rPr>
        <w:t>і</w:t>
      </w:r>
      <w:r w:rsidRPr="00513C3B">
        <w:rPr>
          <w:rFonts w:asciiTheme="majorHAnsi" w:hAnsiTheme="majorHAnsi"/>
          <w:b/>
          <w:i/>
          <w:sz w:val="28"/>
          <w:szCs w:val="28"/>
          <w:lang w:val="uk-UA"/>
        </w:rPr>
        <w:t xml:space="preserve"> щодо того які чинники впливають на формування міжнародного поділу праці та рівень залучення до нього окремих держав або їх груп:</w:t>
      </w:r>
    </w:p>
    <w:p w14:paraId="3F54DC71" w14:textId="77777777" w:rsidR="00746C0E" w:rsidRPr="00513C3B" w:rsidRDefault="0033525A" w:rsidP="00BE4E22">
      <w:pPr>
        <w:pStyle w:val="a3"/>
        <w:numPr>
          <w:ilvl w:val="0"/>
          <w:numId w:val="7"/>
        </w:numPr>
        <w:tabs>
          <w:tab w:val="left" w:pos="993"/>
          <w:tab w:val="left" w:pos="1560"/>
        </w:tabs>
        <w:spacing w:after="0" w:line="240" w:lineRule="auto"/>
        <w:ind w:left="1560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Природно-географічні</w:t>
      </w:r>
    </w:p>
    <w:p w14:paraId="3599AEAC" w14:textId="77777777" w:rsidR="00746C0E" w:rsidRPr="00513C3B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985" w:hanging="851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Соціально-економічні</w:t>
      </w:r>
    </w:p>
    <w:p w14:paraId="63CECB3B" w14:textId="77777777" w:rsidR="00D577E9" w:rsidRPr="00513C3B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Науково-технологічні</w:t>
      </w:r>
    </w:p>
    <w:p w14:paraId="0F5792F8" w14:textId="77777777" w:rsidR="00D577E9" w:rsidRPr="00513C3B" w:rsidRDefault="0033525A" w:rsidP="00BE4E22">
      <w:pPr>
        <w:pStyle w:val="a3"/>
        <w:numPr>
          <w:ilvl w:val="0"/>
          <w:numId w:val="7"/>
        </w:numPr>
        <w:shd w:val="clear" w:color="auto" w:fill="FFFFFF"/>
        <w:tabs>
          <w:tab w:val="left" w:pos="1560"/>
        </w:tabs>
        <w:spacing w:after="0" w:line="240" w:lineRule="auto"/>
        <w:ind w:left="1985" w:hanging="851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Немає вірної відповіді</w:t>
      </w:r>
    </w:p>
    <w:p w14:paraId="2DADE33A" w14:textId="77777777" w:rsidR="00AC6CA9" w:rsidRPr="00513C3B" w:rsidRDefault="0033525A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Ви</w:t>
      </w:r>
      <w:r w:rsidR="00AC6CA9"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значте вірні відповід</w:t>
      </w:r>
      <w:r w:rsidR="006A4F20"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і</w:t>
      </w:r>
      <w:r w:rsidR="00AC6CA9"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</w:t>
      </w: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із зазначеного переліку щодо стадій розвитку інтеграції згідно теорії міжнародної інтеграції Б.</w:t>
      </w:r>
      <w:r w:rsidR="0053774B"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</w:t>
      </w: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Баласа</w:t>
      </w:r>
      <w:r w:rsidR="0053774B"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:</w:t>
      </w:r>
    </w:p>
    <w:p w14:paraId="02F2E537" w14:textId="77777777" w:rsidR="00AC6CA9" w:rsidRPr="00513C3B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14:paraId="3B502AD9" w14:textId="77777777" w:rsidR="00AC6CA9" w:rsidRPr="00513C3B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Митний союз</w:t>
      </w:r>
    </w:p>
    <w:p w14:paraId="0D88A5B2" w14:textId="77777777" w:rsidR="00AC6CA9" w:rsidRPr="00513C3B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Спільний  ринок</w:t>
      </w:r>
    </w:p>
    <w:p w14:paraId="4E49667E" w14:textId="77777777" w:rsidR="00DC1CC1" w:rsidRPr="00513C3B" w:rsidRDefault="0053774B" w:rsidP="0053774B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Економічний союз</w:t>
      </w:r>
    </w:p>
    <w:p w14:paraId="70EDDEE4" w14:textId="06B0D877" w:rsidR="00746C0E" w:rsidRPr="00513C3B" w:rsidRDefault="0053774B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належить така, що має наступну сутність</w:t>
      </w:r>
      <w:r w:rsidR="00940775"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</w:t>
      </w: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- ранній напрям поглиблення інтернаціоналізації економічного розвитку:</w:t>
      </w:r>
    </w:p>
    <w:p w14:paraId="708CB8FA" w14:textId="77777777" w:rsidR="00DC1CC1" w:rsidRPr="00513C3B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14:paraId="61A13B3D" w14:textId="77777777" w:rsidR="00DC1CC1" w:rsidRPr="00513C3B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преференційної торгівлі</w:t>
      </w:r>
    </w:p>
    <w:p w14:paraId="016A8D13" w14:textId="77777777" w:rsidR="00DC1CC1" w:rsidRPr="00513C3B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промислово-зональної торгівлі</w:t>
      </w:r>
    </w:p>
    <w:p w14:paraId="6FB2B351" w14:textId="77777777" w:rsidR="00DC1CC1" w:rsidRPr="00513C3B" w:rsidRDefault="0053774B" w:rsidP="00992D53">
      <w:pPr>
        <w:pStyle w:val="a3"/>
        <w:numPr>
          <w:ilvl w:val="0"/>
          <w:numId w:val="9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14:paraId="35962B14" w14:textId="77777777" w:rsidR="00992D53" w:rsidRPr="00513C3B" w:rsidRDefault="0053774B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До якої форми міжнародної економічної інтеграції нале-жить така, що має наступну сутність- </w:t>
      </w:r>
      <w:r w:rsidR="00992D53"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всі учасники самостійно визначають засади та механізми національної зовнішньоторговельної політики:</w:t>
      </w:r>
    </w:p>
    <w:p w14:paraId="5CFF7EFF" w14:textId="77777777" w:rsidR="00DC1CC1" w:rsidRPr="00513C3B" w:rsidRDefault="003C65FB" w:rsidP="00992D53">
      <w:pPr>
        <w:pStyle w:val="a3"/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Формування ефективних інформаційних систем.</w:t>
      </w:r>
    </w:p>
    <w:p w14:paraId="50B7E995" w14:textId="77777777" w:rsidR="00992D53" w:rsidRPr="00513C3B" w:rsidRDefault="00992D53" w:rsidP="00992D5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14:paraId="3A88D704" w14:textId="77777777" w:rsidR="00992D53" w:rsidRPr="00513C3B" w:rsidRDefault="00992D53" w:rsidP="00992D5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преференційної торгівлі</w:t>
      </w:r>
    </w:p>
    <w:p w14:paraId="2EAD7EC9" w14:textId="77777777" w:rsidR="00992D53" w:rsidRPr="00513C3B" w:rsidRDefault="00992D53" w:rsidP="00992D5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промислово-зональної торгівлі</w:t>
      </w:r>
    </w:p>
    <w:p w14:paraId="50E59FB0" w14:textId="77777777" w:rsidR="00992D53" w:rsidRPr="00513C3B" w:rsidRDefault="00992D53" w:rsidP="00992D5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14:paraId="142C0565" w14:textId="77777777" w:rsidR="00992D53" w:rsidRPr="00513C3B" w:rsidRDefault="00992D53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нале-   жить така, що має наступну сутність-</w:t>
      </w:r>
      <w:r w:rsidRPr="00513C3B">
        <w:rPr>
          <w:lang w:val="uk-UA"/>
        </w:rPr>
        <w:t xml:space="preserve"> </w:t>
      </w: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учасники інтеграційних процесів отримують позитивний ефект для розвитку промислового виробництва:</w:t>
      </w:r>
    </w:p>
    <w:p w14:paraId="77D7C117" w14:textId="77777777" w:rsidR="00992D53" w:rsidRPr="00513C3B" w:rsidRDefault="00992D53" w:rsidP="00992D53">
      <w:pPr>
        <w:pStyle w:val="a3"/>
        <w:numPr>
          <w:ilvl w:val="0"/>
          <w:numId w:val="25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14:paraId="2B17818C" w14:textId="77777777" w:rsidR="00992D53" w:rsidRPr="00513C3B" w:rsidRDefault="00992D53" w:rsidP="00992D53">
      <w:pPr>
        <w:pStyle w:val="a3"/>
        <w:numPr>
          <w:ilvl w:val="0"/>
          <w:numId w:val="25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преференційної торгівлі</w:t>
      </w:r>
    </w:p>
    <w:p w14:paraId="3FD1AACE" w14:textId="77777777" w:rsidR="00992D53" w:rsidRPr="00513C3B" w:rsidRDefault="00992D53" w:rsidP="00992D53">
      <w:pPr>
        <w:pStyle w:val="a3"/>
        <w:numPr>
          <w:ilvl w:val="0"/>
          <w:numId w:val="25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промислово-зональної торгівлі</w:t>
      </w:r>
    </w:p>
    <w:p w14:paraId="69927D98" w14:textId="77777777" w:rsidR="00992D53" w:rsidRPr="00513C3B" w:rsidRDefault="00992D53" w:rsidP="00992D53">
      <w:pPr>
        <w:pStyle w:val="a3"/>
        <w:numPr>
          <w:ilvl w:val="0"/>
          <w:numId w:val="25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    </w:t>
      </w:r>
    </w:p>
    <w:p w14:paraId="33E92B7A" w14:textId="77777777" w:rsidR="00992D53" w:rsidRPr="00513C3B" w:rsidRDefault="00992D53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нале-   жить така, що має наступну сутність- зручність для третіх країн при торгівлі з різними країнами-учасницями, через спільний зовнішній тариф:</w:t>
      </w:r>
    </w:p>
    <w:p w14:paraId="1335B972" w14:textId="77777777" w:rsidR="00992D53" w:rsidRPr="00513C3B" w:rsidRDefault="00575526" w:rsidP="00992D53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lastRenderedPageBreak/>
        <w:t>Зона вільної торгівлі</w:t>
      </w:r>
    </w:p>
    <w:p w14:paraId="0F1800E4" w14:textId="77777777" w:rsidR="00575526" w:rsidRPr="00513C3B" w:rsidRDefault="00575526" w:rsidP="00992D53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Митний союз</w:t>
      </w:r>
    </w:p>
    <w:p w14:paraId="26E6E054" w14:textId="77777777" w:rsidR="00575526" w:rsidRPr="00513C3B" w:rsidRDefault="00575526" w:rsidP="00992D53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14:paraId="31B2F89A" w14:textId="4174BF31" w:rsidR="00575526" w:rsidRPr="00513C3B" w:rsidRDefault="00575526" w:rsidP="0057552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Економічний союз</w:t>
      </w:r>
    </w:p>
    <w:p w14:paraId="39F7FC58" w14:textId="77777777" w:rsidR="00575526" w:rsidRPr="00513C3B" w:rsidRDefault="00575526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якої форми міжнародної економічної інтеграції нале-   жить така, що має наступну сутність-</w:t>
      </w:r>
      <w:r w:rsidRPr="00513C3B">
        <w:rPr>
          <w:lang w:val="uk-UA"/>
        </w:rPr>
        <w:t xml:space="preserve"> </w:t>
      </w:r>
      <w:r w:rsidRPr="00513C3B">
        <w:rPr>
          <w:rFonts w:ascii="Cambria" w:hAnsi="Cambria"/>
          <w:b/>
          <w:i/>
          <w:sz w:val="28"/>
          <w:szCs w:val="28"/>
          <w:lang w:val="uk-UA"/>
        </w:rPr>
        <w:t>н</w:t>
      </w: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аднаціональний рівень управління:</w:t>
      </w:r>
    </w:p>
    <w:p w14:paraId="799891FC" w14:textId="77777777" w:rsidR="00575526" w:rsidRPr="00513C3B" w:rsidRDefault="00575526" w:rsidP="0091032A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вільної торгівлі</w:t>
      </w:r>
    </w:p>
    <w:p w14:paraId="6D255E77" w14:textId="77777777" w:rsidR="00575526" w:rsidRPr="00513C3B" w:rsidRDefault="00575526" w:rsidP="0091032A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Митний союз</w:t>
      </w:r>
    </w:p>
    <w:p w14:paraId="4DA5E70D" w14:textId="77777777" w:rsidR="00575526" w:rsidRPr="00513C3B" w:rsidRDefault="00575526" w:rsidP="0091032A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Політичний союз</w:t>
      </w:r>
    </w:p>
    <w:p w14:paraId="709DC63F" w14:textId="77777777" w:rsidR="00575526" w:rsidRPr="00513C3B" w:rsidRDefault="00575526" w:rsidP="0091032A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Зона економічного росту</w:t>
      </w:r>
    </w:p>
    <w:p w14:paraId="6FCB47A2" w14:textId="77777777" w:rsidR="00A55366" w:rsidRPr="00513C3B" w:rsidRDefault="0091032A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До ключових економічних умов інтеграції відносять критерії:</w:t>
      </w:r>
    </w:p>
    <w:p w14:paraId="64880FA7" w14:textId="77777777" w:rsidR="0091032A" w:rsidRPr="00513C3B" w:rsidRDefault="0091032A" w:rsidP="0091032A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Рівень розвитку країни, її ресурсні та технологічні потенціали</w:t>
      </w:r>
    </w:p>
    <w:p w14:paraId="52CD78F8" w14:textId="77777777" w:rsidR="0091032A" w:rsidRPr="00513C3B" w:rsidRDefault="0091032A" w:rsidP="0091032A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Ступінь зрілості ринкових відносин, зокрема національних ринків товарів, капіталу і праці </w:t>
      </w:r>
    </w:p>
    <w:p w14:paraId="2FA6B33D" w14:textId="77777777" w:rsidR="0091032A" w:rsidRPr="00513C3B" w:rsidRDefault="0091032A" w:rsidP="0091032A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Масштаби й перспективи економічних взаємозв’язків країн</w:t>
      </w:r>
    </w:p>
    <w:p w14:paraId="2936E947" w14:textId="77777777" w:rsidR="0091032A" w:rsidRPr="00513C3B" w:rsidRDefault="0091032A" w:rsidP="0091032A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560"/>
          <w:tab w:val="left" w:pos="1843"/>
        </w:tabs>
        <w:spacing w:after="0" w:line="240" w:lineRule="auto"/>
        <w:ind w:left="1134" w:firstLine="0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Інфраструктурна та соціально-культурна сумісність</w:t>
      </w:r>
    </w:p>
    <w:p w14:paraId="3AA01286" w14:textId="77777777" w:rsidR="00E21F58" w:rsidRPr="00513C3B" w:rsidRDefault="00E21F58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Регіон Європи, створений в 1944 р. що включає в себе Європейські країни митно-економічного союзу – Бельгію, Нідерланди та Люксембург це:</w:t>
      </w:r>
    </w:p>
    <w:p w14:paraId="29F36E55" w14:textId="77777777" w:rsidR="00E21F58" w:rsidRPr="00513C3B" w:rsidRDefault="00E21F58" w:rsidP="00E21F58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Європейське об’єднання вугілля та сталі ( </w:t>
      </w:r>
      <w:r w:rsidRPr="00513C3B">
        <w:rPr>
          <w:rFonts w:ascii="Cambria" w:eastAsia="Times New Roman" w:hAnsi="Cambria" w:cs="Tahoma"/>
          <w:bCs/>
          <w:iCs/>
          <w:sz w:val="28"/>
          <w:szCs w:val="28"/>
          <w:lang w:val="en-US"/>
        </w:rPr>
        <w:t>ECSC</w:t>
      </w: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)</w:t>
      </w:r>
    </w:p>
    <w:p w14:paraId="7ADC6993" w14:textId="77777777" w:rsidR="00E21F58" w:rsidRPr="00513C3B" w:rsidRDefault="00E21F58" w:rsidP="00E21F58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Бенілюкс</w:t>
      </w:r>
    </w:p>
    <w:p w14:paraId="74CB1D2B" w14:textId="77777777" w:rsidR="00E21F58" w:rsidRPr="00513C3B" w:rsidRDefault="00E21F58" w:rsidP="00E21F58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Європейський союз</w:t>
      </w:r>
    </w:p>
    <w:p w14:paraId="2F2AE2B3" w14:textId="77777777" w:rsidR="00E21F58" w:rsidRPr="00513C3B" w:rsidRDefault="00E21F58" w:rsidP="00E21F58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Немає вірної відповіді</w:t>
      </w:r>
    </w:p>
    <w:p w14:paraId="1B47AC0B" w14:textId="77777777" w:rsidR="00E21F58" w:rsidRPr="00513C3B" w:rsidRDefault="00E21F58" w:rsidP="006046DA">
      <w:pPr>
        <w:pStyle w:val="a3"/>
        <w:numPr>
          <w:ilvl w:val="0"/>
          <w:numId w:val="46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513C3B">
        <w:rPr>
          <w:rFonts w:ascii="Cambria" w:hAnsi="Cambria" w:cs="Arial"/>
          <w:b/>
          <w:iCs/>
          <w:sz w:val="28"/>
          <w:szCs w:val="28"/>
          <w:shd w:val="clear" w:color="auto" w:fill="FFFFFF"/>
          <w:lang w:val="uk-UA"/>
        </w:rPr>
        <w:t>Міжнародна державно-монополістична організація, що була створена у 1951 році та об'єднувала </w:t>
      </w:r>
      <w:hyperlink r:id="rId5" w:tooltip="Кам'яновугільна промисловість" w:history="1">
        <w:r w:rsidRPr="00513C3B">
          <w:rPr>
            <w:rStyle w:val="a5"/>
            <w:rFonts w:ascii="Cambria" w:hAnsi="Cambria" w:cs="Arial"/>
            <w:b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кам'яновугільну</w:t>
        </w:r>
      </w:hyperlink>
      <w:r w:rsidRPr="00513C3B">
        <w:rPr>
          <w:rFonts w:ascii="Cambria" w:hAnsi="Cambria" w:cs="Arial"/>
          <w:b/>
          <w:iCs/>
          <w:sz w:val="28"/>
          <w:szCs w:val="28"/>
          <w:shd w:val="clear" w:color="auto" w:fill="FFFFFF"/>
          <w:lang w:val="uk-UA"/>
        </w:rPr>
        <w:t>,  залізорудну і </w:t>
      </w:r>
      <w:hyperlink r:id="rId6" w:tooltip="Металургійна промисловість" w:history="1">
        <w:r w:rsidRPr="00513C3B">
          <w:rPr>
            <w:rStyle w:val="a5"/>
            <w:rFonts w:ascii="Cambria" w:hAnsi="Cambria" w:cs="Arial"/>
            <w:b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металургійну</w:t>
        </w:r>
      </w:hyperlink>
      <w:r w:rsidRPr="00513C3B">
        <w:rPr>
          <w:rFonts w:ascii="Cambria" w:hAnsi="Cambria" w:cs="Arial"/>
          <w:b/>
          <w:iCs/>
          <w:sz w:val="28"/>
          <w:szCs w:val="28"/>
          <w:shd w:val="clear" w:color="auto" w:fill="FFFFFF"/>
          <w:lang w:val="uk-UA"/>
        </w:rPr>
        <w:t> промисловість 10 країн </w:t>
      </w:r>
      <w:hyperlink r:id="rId7" w:tooltip="Європейська економічна спільнота" w:history="1">
        <w:r w:rsidRPr="00513C3B">
          <w:rPr>
            <w:rStyle w:val="a5"/>
            <w:rFonts w:ascii="Cambria" w:hAnsi="Cambria" w:cs="Arial"/>
            <w:b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Європейської економічної спільноти</w:t>
        </w:r>
      </w:hyperlink>
      <w:r w:rsidRPr="00513C3B">
        <w:rPr>
          <w:rFonts w:ascii="Cambria" w:hAnsi="Cambria" w:cs="Arial"/>
          <w:b/>
          <w:iCs/>
          <w:sz w:val="28"/>
          <w:szCs w:val="28"/>
          <w:shd w:val="clear" w:color="auto" w:fill="FFFFFF"/>
          <w:lang w:val="uk-UA"/>
        </w:rPr>
        <w:t> (ЄЕС) це:</w:t>
      </w:r>
    </w:p>
    <w:p w14:paraId="279FF29F" w14:textId="77777777" w:rsidR="00E21F58" w:rsidRPr="00513C3B" w:rsidRDefault="00E21F58" w:rsidP="00E21F58">
      <w:pPr>
        <w:pStyle w:val="a3"/>
        <w:numPr>
          <w:ilvl w:val="0"/>
          <w:numId w:val="34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Європейська шістка</w:t>
      </w:r>
    </w:p>
    <w:p w14:paraId="3E2B8252" w14:textId="77777777" w:rsidR="00E21F58" w:rsidRPr="00513C3B" w:rsidRDefault="00E21F58" w:rsidP="00E21F58">
      <w:pPr>
        <w:pStyle w:val="a3"/>
        <w:numPr>
          <w:ilvl w:val="0"/>
          <w:numId w:val="34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Бенілюкс</w:t>
      </w:r>
    </w:p>
    <w:p w14:paraId="26336559" w14:textId="77777777" w:rsidR="00E21F58" w:rsidRPr="00513C3B" w:rsidRDefault="00E21F58" w:rsidP="00E21F58">
      <w:pPr>
        <w:pStyle w:val="a3"/>
        <w:numPr>
          <w:ilvl w:val="0"/>
          <w:numId w:val="34"/>
        </w:numPr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Європейське об’єднання вугілля та сталі ( ECSC)</w:t>
      </w:r>
    </w:p>
    <w:p w14:paraId="1CC3CDD8" w14:textId="77777777" w:rsidR="00E21F58" w:rsidRPr="00513C3B" w:rsidRDefault="00E21F58" w:rsidP="00E21F58">
      <w:pPr>
        <w:pStyle w:val="a3"/>
        <w:numPr>
          <w:ilvl w:val="0"/>
          <w:numId w:val="34"/>
        </w:numPr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513C3B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Європейський союз</w:t>
      </w:r>
    </w:p>
    <w:p w14:paraId="67FD350D" w14:textId="77777777" w:rsidR="006046DA" w:rsidRPr="00513C3B" w:rsidRDefault="006046DA" w:rsidP="006046DA">
      <w:pPr>
        <w:tabs>
          <w:tab w:val="left" w:pos="993"/>
        </w:tabs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14:paraId="475D5509" w14:textId="77777777" w:rsidR="006046DA" w:rsidRPr="00513C3B" w:rsidRDefault="006046DA" w:rsidP="006046DA">
      <w:pPr>
        <w:tabs>
          <w:tab w:val="left" w:pos="993"/>
        </w:tabs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14:paraId="6835AC6D" w14:textId="77777777" w:rsidR="006046DA" w:rsidRDefault="006046DA" w:rsidP="006046DA">
      <w:pPr>
        <w:tabs>
          <w:tab w:val="left" w:pos="993"/>
        </w:tabs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14:paraId="110DEB23" w14:textId="77777777" w:rsidR="006046DA" w:rsidRDefault="006046DA" w:rsidP="006046DA">
      <w:pPr>
        <w:tabs>
          <w:tab w:val="left" w:pos="993"/>
        </w:tabs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14:paraId="1AEE8B18" w14:textId="77777777" w:rsidR="006046DA" w:rsidRDefault="006046DA" w:rsidP="006046DA">
      <w:pPr>
        <w:tabs>
          <w:tab w:val="left" w:pos="993"/>
        </w:tabs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14:paraId="5545AB66" w14:textId="77777777" w:rsidR="006046DA" w:rsidRDefault="006046DA" w:rsidP="006046DA">
      <w:pPr>
        <w:tabs>
          <w:tab w:val="left" w:pos="993"/>
        </w:tabs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p w14:paraId="1C961B23" w14:textId="77777777" w:rsidR="006046DA" w:rsidRDefault="006046DA" w:rsidP="006046DA">
      <w:pPr>
        <w:tabs>
          <w:tab w:val="left" w:pos="993"/>
        </w:tabs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</w:p>
    <w:sectPr w:rsidR="0060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F10"/>
    <w:multiLevelType w:val="hybridMultilevel"/>
    <w:tmpl w:val="3894E04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2C3FB9"/>
    <w:multiLevelType w:val="hybridMultilevel"/>
    <w:tmpl w:val="C32613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50C"/>
    <w:multiLevelType w:val="hybridMultilevel"/>
    <w:tmpl w:val="4036C2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C23A0"/>
    <w:multiLevelType w:val="hybridMultilevel"/>
    <w:tmpl w:val="DA849738"/>
    <w:lvl w:ilvl="0" w:tplc="BA7A8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3C3E"/>
    <w:multiLevelType w:val="hybridMultilevel"/>
    <w:tmpl w:val="3932BCB2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0CE13D0C"/>
    <w:multiLevelType w:val="hybridMultilevel"/>
    <w:tmpl w:val="6CF4340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C4476"/>
    <w:multiLevelType w:val="hybridMultilevel"/>
    <w:tmpl w:val="6058652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D53B69"/>
    <w:multiLevelType w:val="hybridMultilevel"/>
    <w:tmpl w:val="D9DC6F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571D1"/>
    <w:multiLevelType w:val="hybridMultilevel"/>
    <w:tmpl w:val="4BAEC3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225A0"/>
    <w:multiLevelType w:val="hybridMultilevel"/>
    <w:tmpl w:val="95288C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001003"/>
    <w:multiLevelType w:val="hybridMultilevel"/>
    <w:tmpl w:val="1398FB76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2466A"/>
    <w:multiLevelType w:val="hybridMultilevel"/>
    <w:tmpl w:val="3A3C948E"/>
    <w:lvl w:ilvl="0" w:tplc="04190015">
      <w:start w:val="1"/>
      <w:numFmt w:val="upp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D711FD5"/>
    <w:multiLevelType w:val="hybridMultilevel"/>
    <w:tmpl w:val="CB10B75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A47E71"/>
    <w:multiLevelType w:val="hybridMultilevel"/>
    <w:tmpl w:val="35DCC3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4497C"/>
    <w:multiLevelType w:val="hybridMultilevel"/>
    <w:tmpl w:val="F794AB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5A0683"/>
    <w:multiLevelType w:val="hybridMultilevel"/>
    <w:tmpl w:val="51885C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B420AF"/>
    <w:multiLevelType w:val="hybridMultilevel"/>
    <w:tmpl w:val="157447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F66C90"/>
    <w:multiLevelType w:val="hybridMultilevel"/>
    <w:tmpl w:val="74F44FDC"/>
    <w:lvl w:ilvl="0" w:tplc="04190015">
      <w:start w:val="1"/>
      <w:numFmt w:val="upperLetter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26D3ED4"/>
    <w:multiLevelType w:val="hybridMultilevel"/>
    <w:tmpl w:val="FA86883A"/>
    <w:lvl w:ilvl="0" w:tplc="04190015">
      <w:start w:val="1"/>
      <w:numFmt w:val="upperLetter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32E36AB8"/>
    <w:multiLevelType w:val="hybridMultilevel"/>
    <w:tmpl w:val="D4986322"/>
    <w:lvl w:ilvl="0" w:tplc="04190015">
      <w:start w:val="1"/>
      <w:numFmt w:val="upperLetter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0" w15:restartNumberingAfterBreak="0">
    <w:nsid w:val="333B2A6B"/>
    <w:multiLevelType w:val="hybridMultilevel"/>
    <w:tmpl w:val="440CD0E2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54142CB"/>
    <w:multiLevelType w:val="hybridMultilevel"/>
    <w:tmpl w:val="AEAEC7FA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3A837350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3AC142EF"/>
    <w:multiLevelType w:val="hybridMultilevel"/>
    <w:tmpl w:val="145A29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5C724A"/>
    <w:multiLevelType w:val="hybridMultilevel"/>
    <w:tmpl w:val="C108DDA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DD221B"/>
    <w:multiLevelType w:val="hybridMultilevel"/>
    <w:tmpl w:val="AA5C05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F94C30"/>
    <w:multiLevelType w:val="hybridMultilevel"/>
    <w:tmpl w:val="301630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5763E6"/>
    <w:multiLevelType w:val="hybridMultilevel"/>
    <w:tmpl w:val="6E1812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9E077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4F1C2D01"/>
    <w:multiLevelType w:val="hybridMultilevel"/>
    <w:tmpl w:val="34E22D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13C77"/>
    <w:multiLevelType w:val="hybridMultilevel"/>
    <w:tmpl w:val="BF3AA76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321608"/>
    <w:multiLevelType w:val="hybridMultilevel"/>
    <w:tmpl w:val="BD6091B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A02882"/>
    <w:multiLevelType w:val="hybridMultilevel"/>
    <w:tmpl w:val="9A60C1AC"/>
    <w:lvl w:ilvl="0" w:tplc="04190015">
      <w:start w:val="1"/>
      <w:numFmt w:val="upp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8F330BB"/>
    <w:multiLevelType w:val="hybridMultilevel"/>
    <w:tmpl w:val="7630AC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696755"/>
    <w:multiLevelType w:val="hybridMultilevel"/>
    <w:tmpl w:val="F2E49E1A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70531"/>
    <w:multiLevelType w:val="hybridMultilevel"/>
    <w:tmpl w:val="8CD8BE8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01250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40C5B1B"/>
    <w:multiLevelType w:val="hybridMultilevel"/>
    <w:tmpl w:val="C5B429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625853"/>
    <w:multiLevelType w:val="hybridMultilevel"/>
    <w:tmpl w:val="407AFE9A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728396E"/>
    <w:multiLevelType w:val="hybridMultilevel"/>
    <w:tmpl w:val="D04212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956F8F"/>
    <w:multiLevelType w:val="hybridMultilevel"/>
    <w:tmpl w:val="0B82B5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BB61A2"/>
    <w:multiLevelType w:val="hybridMultilevel"/>
    <w:tmpl w:val="89B0B7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C67248"/>
    <w:multiLevelType w:val="hybridMultilevel"/>
    <w:tmpl w:val="21CE1F82"/>
    <w:lvl w:ilvl="0" w:tplc="04190015">
      <w:start w:val="1"/>
      <w:numFmt w:val="upperLetter"/>
      <w:lvlText w:val="%1."/>
      <w:lvlJc w:val="left"/>
      <w:pPr>
        <w:ind w:left="1621" w:hanging="360"/>
      </w:p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3" w15:restartNumberingAfterBreak="0">
    <w:nsid w:val="7B275624"/>
    <w:multiLevelType w:val="hybridMultilevel"/>
    <w:tmpl w:val="0AA8278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72673"/>
    <w:multiLevelType w:val="hybridMultilevel"/>
    <w:tmpl w:val="294ED9C0"/>
    <w:lvl w:ilvl="0" w:tplc="0970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6505AA"/>
    <w:multiLevelType w:val="hybridMultilevel"/>
    <w:tmpl w:val="E1AAF1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605442">
    <w:abstractNumId w:val="34"/>
  </w:num>
  <w:num w:numId="2" w16cid:durableId="1302540037">
    <w:abstractNumId w:val="9"/>
  </w:num>
  <w:num w:numId="3" w16cid:durableId="2124885382">
    <w:abstractNumId w:val="13"/>
  </w:num>
  <w:num w:numId="4" w16cid:durableId="1107114835">
    <w:abstractNumId w:val="23"/>
  </w:num>
  <w:num w:numId="5" w16cid:durableId="649410203">
    <w:abstractNumId w:val="40"/>
  </w:num>
  <w:num w:numId="6" w16cid:durableId="521091647">
    <w:abstractNumId w:val="0"/>
  </w:num>
  <w:num w:numId="7" w16cid:durableId="652953325">
    <w:abstractNumId w:val="42"/>
  </w:num>
  <w:num w:numId="8" w16cid:durableId="1180699116">
    <w:abstractNumId w:val="15"/>
  </w:num>
  <w:num w:numId="9" w16cid:durableId="74590616">
    <w:abstractNumId w:val="14"/>
  </w:num>
  <w:num w:numId="10" w16cid:durableId="1708067823">
    <w:abstractNumId w:val="26"/>
  </w:num>
  <w:num w:numId="11" w16cid:durableId="853417394">
    <w:abstractNumId w:val="37"/>
  </w:num>
  <w:num w:numId="12" w16cid:durableId="67307917">
    <w:abstractNumId w:val="45"/>
  </w:num>
  <w:num w:numId="13" w16cid:durableId="1448814282">
    <w:abstractNumId w:val="30"/>
  </w:num>
  <w:num w:numId="14" w16cid:durableId="1117331362">
    <w:abstractNumId w:val="24"/>
  </w:num>
  <w:num w:numId="15" w16cid:durableId="1831629656">
    <w:abstractNumId w:val="41"/>
  </w:num>
  <w:num w:numId="16" w16cid:durableId="1352415340">
    <w:abstractNumId w:val="16"/>
  </w:num>
  <w:num w:numId="17" w16cid:durableId="1537888970">
    <w:abstractNumId w:val="3"/>
  </w:num>
  <w:num w:numId="18" w16cid:durableId="228417461">
    <w:abstractNumId w:val="17"/>
  </w:num>
  <w:num w:numId="19" w16cid:durableId="750082140">
    <w:abstractNumId w:val="21"/>
  </w:num>
  <w:num w:numId="20" w16cid:durableId="1278677498">
    <w:abstractNumId w:val="4"/>
  </w:num>
  <w:num w:numId="21" w16cid:durableId="1004936143">
    <w:abstractNumId w:val="29"/>
  </w:num>
  <w:num w:numId="22" w16cid:durableId="2094203197">
    <w:abstractNumId w:val="25"/>
  </w:num>
  <w:num w:numId="23" w16cid:durableId="1649943644">
    <w:abstractNumId w:val="28"/>
  </w:num>
  <w:num w:numId="24" w16cid:durableId="1283539968">
    <w:abstractNumId w:val="22"/>
  </w:num>
  <w:num w:numId="25" w16cid:durableId="1831827253">
    <w:abstractNumId w:val="36"/>
  </w:num>
  <w:num w:numId="26" w16cid:durableId="1363551009">
    <w:abstractNumId w:val="5"/>
  </w:num>
  <w:num w:numId="27" w16cid:durableId="172961150">
    <w:abstractNumId w:val="38"/>
  </w:num>
  <w:num w:numId="28" w16cid:durableId="410003369">
    <w:abstractNumId w:val="27"/>
  </w:num>
  <w:num w:numId="29" w16cid:durableId="875652897">
    <w:abstractNumId w:val="20"/>
  </w:num>
  <w:num w:numId="30" w16cid:durableId="1350252464">
    <w:abstractNumId w:val="33"/>
  </w:num>
  <w:num w:numId="31" w16cid:durableId="841507766">
    <w:abstractNumId w:val="19"/>
  </w:num>
  <w:num w:numId="32" w16cid:durableId="756943925">
    <w:abstractNumId w:val="2"/>
  </w:num>
  <w:num w:numId="33" w16cid:durableId="1916281661">
    <w:abstractNumId w:val="8"/>
  </w:num>
  <w:num w:numId="34" w16cid:durableId="1921326527">
    <w:abstractNumId w:val="35"/>
  </w:num>
  <w:num w:numId="35" w16cid:durableId="147094712">
    <w:abstractNumId w:val="7"/>
  </w:num>
  <w:num w:numId="36" w16cid:durableId="2123302764">
    <w:abstractNumId w:val="18"/>
  </w:num>
  <w:num w:numId="37" w16cid:durableId="1209564584">
    <w:abstractNumId w:val="1"/>
  </w:num>
  <w:num w:numId="38" w16cid:durableId="805195507">
    <w:abstractNumId w:val="12"/>
  </w:num>
  <w:num w:numId="39" w16cid:durableId="1170292692">
    <w:abstractNumId w:val="6"/>
  </w:num>
  <w:num w:numId="40" w16cid:durableId="1525291418">
    <w:abstractNumId w:val="39"/>
  </w:num>
  <w:num w:numId="41" w16cid:durableId="1028868083">
    <w:abstractNumId w:val="32"/>
  </w:num>
  <w:num w:numId="42" w16cid:durableId="846939559">
    <w:abstractNumId w:val="11"/>
  </w:num>
  <w:num w:numId="43" w16cid:durableId="1707873146">
    <w:abstractNumId w:val="31"/>
  </w:num>
  <w:num w:numId="44" w16cid:durableId="1559242848">
    <w:abstractNumId w:val="44"/>
  </w:num>
  <w:num w:numId="45" w16cid:durableId="1100026614">
    <w:abstractNumId w:val="10"/>
  </w:num>
  <w:num w:numId="46" w16cid:durableId="673190509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93"/>
    <w:rsid w:val="00083D55"/>
    <w:rsid w:val="000D5C09"/>
    <w:rsid w:val="000F0D93"/>
    <w:rsid w:val="00115E8D"/>
    <w:rsid w:val="00186AE7"/>
    <w:rsid w:val="001B6C6E"/>
    <w:rsid w:val="001D78D6"/>
    <w:rsid w:val="00231DAB"/>
    <w:rsid w:val="00246F65"/>
    <w:rsid w:val="0033525A"/>
    <w:rsid w:val="003360FF"/>
    <w:rsid w:val="00343F2C"/>
    <w:rsid w:val="003972F6"/>
    <w:rsid w:val="003C65FB"/>
    <w:rsid w:val="00436540"/>
    <w:rsid w:val="00441779"/>
    <w:rsid w:val="00444AB6"/>
    <w:rsid w:val="00513C3B"/>
    <w:rsid w:val="0053774B"/>
    <w:rsid w:val="00575526"/>
    <w:rsid w:val="005D302F"/>
    <w:rsid w:val="005D3D95"/>
    <w:rsid w:val="006046DA"/>
    <w:rsid w:val="006319AD"/>
    <w:rsid w:val="006A4F20"/>
    <w:rsid w:val="006C039A"/>
    <w:rsid w:val="006C0FF9"/>
    <w:rsid w:val="00715785"/>
    <w:rsid w:val="00746C0E"/>
    <w:rsid w:val="00746E79"/>
    <w:rsid w:val="00756EF6"/>
    <w:rsid w:val="00765804"/>
    <w:rsid w:val="007E0A67"/>
    <w:rsid w:val="00832329"/>
    <w:rsid w:val="008A39FF"/>
    <w:rsid w:val="0091032A"/>
    <w:rsid w:val="009113B8"/>
    <w:rsid w:val="00940775"/>
    <w:rsid w:val="00992D53"/>
    <w:rsid w:val="009A65FD"/>
    <w:rsid w:val="00A55366"/>
    <w:rsid w:val="00A60D0F"/>
    <w:rsid w:val="00AC6CA9"/>
    <w:rsid w:val="00AD2478"/>
    <w:rsid w:val="00AF645D"/>
    <w:rsid w:val="00BE4E22"/>
    <w:rsid w:val="00C3332D"/>
    <w:rsid w:val="00C35A95"/>
    <w:rsid w:val="00CC06DA"/>
    <w:rsid w:val="00CE7172"/>
    <w:rsid w:val="00D577E9"/>
    <w:rsid w:val="00D938F5"/>
    <w:rsid w:val="00DC1CC1"/>
    <w:rsid w:val="00DF1D46"/>
    <w:rsid w:val="00E00FDC"/>
    <w:rsid w:val="00E01A7E"/>
    <w:rsid w:val="00E21F58"/>
    <w:rsid w:val="00E95316"/>
    <w:rsid w:val="00E9543E"/>
    <w:rsid w:val="00EF3969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0680"/>
  <w15:docId w15:val="{4BD49494-E7EC-46B6-90EA-20C0CFDC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D6"/>
    <w:pPr>
      <w:ind w:left="720"/>
      <w:contextualSpacing/>
    </w:pPr>
  </w:style>
  <w:style w:type="table" w:styleId="a4">
    <w:name w:val="Table Grid"/>
    <w:basedOn w:val="a1"/>
    <w:uiPriority w:val="59"/>
    <w:rsid w:val="00AF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E21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84%D0%B2%D1%80%D0%BE%D0%BF%D0%B5%D0%B9%D1%81%D1%8C%D0%BA%D0%B0_%D0%B5%D0%BA%D0%BE%D0%BD%D0%BE%D0%BC%D1%96%D1%87%D0%BD%D0%B0_%D1%81%D0%BF%D1%96%D0%BB%D1%8C%D0%BD%D0%BE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0%B5%D1%82%D0%B0%D0%BB%D1%83%D1%80%D0%B3%D1%96%D0%B9%D0%BD%D0%B0_%D0%BF%D1%80%D0%BE%D0%BC%D0%B8%D1%81%D0%BB%D0%BE%D0%B2%D1%96%D1%81%D1%82%D1%8C" TargetMode="External"/><Relationship Id="rId5" Type="http://schemas.openxmlformats.org/officeDocument/2006/relationships/hyperlink" Target="https://uk.wikipedia.org/wiki/%D0%9A%D0%B0%D0%BC%27%D1%8F%D0%BD%D0%BE%D0%B2%D1%83%D0%B3%D1%96%D0%BB%D1%8C%D0%BD%D0%B0_%D0%BF%D1%80%D0%BE%D0%BC%D0%B8%D1%81%D0%BB%D0%BE%D0%B2%D1%96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Наталья Метеленко</cp:lastModifiedBy>
  <cp:revision>14</cp:revision>
  <dcterms:created xsi:type="dcterms:W3CDTF">2020-10-12T16:18:00Z</dcterms:created>
  <dcterms:modified xsi:type="dcterms:W3CDTF">2025-10-05T15:53:00Z</dcterms:modified>
</cp:coreProperties>
</file>