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6171" w14:textId="274059E6" w:rsidR="00DB7AF0" w:rsidRPr="00A65CA6" w:rsidRDefault="00042873" w:rsidP="001E7A30">
      <w:pPr>
        <w:spacing w:after="0" w:line="240" w:lineRule="auto"/>
        <w:jc w:val="center"/>
        <w:rPr>
          <w:rFonts w:ascii="Cambria" w:hAnsi="Cambria" w:cs="Times New Roman"/>
          <w:b/>
          <w:bCs/>
          <w:sz w:val="28"/>
          <w:szCs w:val="28"/>
        </w:rPr>
      </w:pPr>
      <w:r w:rsidRPr="00A65CA6">
        <w:rPr>
          <w:rFonts w:ascii="Cambria" w:hAnsi="Cambria" w:cs="Times New Roman"/>
          <w:b/>
          <w:bCs/>
          <w:sz w:val="28"/>
          <w:szCs w:val="28"/>
        </w:rPr>
        <w:t xml:space="preserve">ЛЕКЦІЯ </w:t>
      </w:r>
      <w:r w:rsidR="009E56F0">
        <w:rPr>
          <w:rFonts w:ascii="Cambria" w:hAnsi="Cambria" w:cs="Times New Roman"/>
          <w:b/>
          <w:bCs/>
          <w:sz w:val="28"/>
          <w:szCs w:val="28"/>
        </w:rPr>
        <w:t>8</w:t>
      </w:r>
      <w:r w:rsidR="00A65CA6" w:rsidRPr="00A65CA6">
        <w:rPr>
          <w:rFonts w:ascii="Cambria" w:hAnsi="Cambria" w:cs="Times New Roman"/>
          <w:b/>
          <w:bCs/>
          <w:sz w:val="28"/>
          <w:szCs w:val="28"/>
        </w:rPr>
        <w:t xml:space="preserve"> </w:t>
      </w:r>
      <w:r w:rsidRPr="00A65CA6">
        <w:rPr>
          <w:rFonts w:ascii="Cambria" w:hAnsi="Cambria" w:cs="Times New Roman"/>
          <w:b/>
          <w:bCs/>
          <w:sz w:val="28"/>
          <w:szCs w:val="28"/>
        </w:rPr>
        <w:t>нова</w:t>
      </w:r>
    </w:p>
    <w:p w14:paraId="6DC9AA36" w14:textId="7E7C6A08" w:rsidR="001E7A30" w:rsidRDefault="009E56F0" w:rsidP="009E56F0">
      <w:pPr>
        <w:spacing w:after="0" w:line="240" w:lineRule="auto"/>
        <w:jc w:val="center"/>
        <w:rPr>
          <w:rFonts w:ascii="Cambria" w:hAnsi="Cambria"/>
          <w:b/>
          <w:bCs/>
          <w:sz w:val="28"/>
          <w:szCs w:val="28"/>
        </w:rPr>
      </w:pPr>
      <w:r w:rsidRPr="009E56F0">
        <w:rPr>
          <w:rFonts w:ascii="Cambria" w:hAnsi="Cambria"/>
          <w:b/>
          <w:bCs/>
          <w:sz w:val="28"/>
          <w:szCs w:val="28"/>
        </w:rPr>
        <w:t>ОКРЕМІ НАПРЯМИ СЕКТОРАЛЬНОЇ ІНТЕГРАЦІЇ: СТАН, ПРОБЛЕМИ, ПЕРСПЕКТИВИ</w:t>
      </w:r>
    </w:p>
    <w:p w14:paraId="494715BB" w14:textId="77777777" w:rsidR="009E56F0" w:rsidRDefault="009E56F0" w:rsidP="009E56F0">
      <w:pPr>
        <w:spacing w:after="0" w:line="240" w:lineRule="auto"/>
        <w:jc w:val="center"/>
        <w:rPr>
          <w:rFonts w:ascii="Cambria" w:hAnsi="Cambria"/>
          <w:b/>
          <w:bCs/>
          <w:sz w:val="28"/>
          <w:szCs w:val="28"/>
        </w:rPr>
      </w:pPr>
    </w:p>
    <w:p w14:paraId="61FE7357" w14:textId="77777777" w:rsidR="009E56F0" w:rsidRPr="009E56F0" w:rsidRDefault="009E56F0" w:rsidP="009E56F0">
      <w:pPr>
        <w:spacing w:after="0" w:line="240" w:lineRule="auto"/>
        <w:jc w:val="center"/>
        <w:rPr>
          <w:rFonts w:ascii="Cambria" w:hAnsi="Cambria" w:cstheme="minorHAnsi"/>
          <w:b/>
          <w:bCs/>
          <w:sz w:val="28"/>
          <w:szCs w:val="28"/>
        </w:rPr>
      </w:pPr>
    </w:p>
    <w:p w14:paraId="18F3C5E5" w14:textId="77777777" w:rsidR="009E56F0" w:rsidRPr="00B36876" w:rsidRDefault="009E56F0" w:rsidP="009E56F0">
      <w:pPr>
        <w:pStyle w:val="a9"/>
        <w:numPr>
          <w:ilvl w:val="0"/>
          <w:numId w:val="5"/>
        </w:numPr>
        <w:spacing w:after="0" w:line="240" w:lineRule="auto"/>
        <w:ind w:left="0" w:firstLine="709"/>
        <w:jc w:val="both"/>
        <w:rPr>
          <w:rFonts w:ascii="Cambria" w:hAnsi="Cambria" w:cstheme="minorHAnsi"/>
          <w:b/>
          <w:bCs/>
          <w:i/>
          <w:iCs/>
          <w:sz w:val="28"/>
          <w:szCs w:val="28"/>
        </w:rPr>
      </w:pPr>
      <w:bookmarkStart w:id="0" w:name="_Hlk210419814"/>
      <w:r w:rsidRPr="00B36876">
        <w:rPr>
          <w:rFonts w:ascii="Cambria" w:hAnsi="Cambria" w:cstheme="minorHAnsi"/>
          <w:b/>
          <w:bCs/>
          <w:i/>
          <w:iCs/>
          <w:sz w:val="28"/>
          <w:szCs w:val="28"/>
        </w:rPr>
        <w:t>Інтеграція Україна-ЄС у секторі енергетики. Зелений курс ЄС: енергетика.</w:t>
      </w:r>
      <w:r w:rsidRPr="00B36876">
        <w:rPr>
          <w:rFonts w:ascii="Cambria" w:hAnsi="Cambria" w:cstheme="minorHAnsi"/>
          <w:b/>
          <w:bCs/>
          <w:sz w:val="28"/>
          <w:szCs w:val="28"/>
        </w:rPr>
        <w:t xml:space="preserve"> </w:t>
      </w:r>
    </w:p>
    <w:p w14:paraId="03A63065" w14:textId="77777777" w:rsidR="009E56F0" w:rsidRPr="00B36876" w:rsidRDefault="009E56F0" w:rsidP="009E56F0">
      <w:pPr>
        <w:pStyle w:val="a9"/>
        <w:numPr>
          <w:ilvl w:val="0"/>
          <w:numId w:val="5"/>
        </w:numPr>
        <w:spacing w:after="0" w:line="240" w:lineRule="auto"/>
        <w:ind w:left="0" w:firstLine="709"/>
        <w:jc w:val="both"/>
        <w:rPr>
          <w:rFonts w:ascii="Cambria" w:hAnsi="Cambria" w:cstheme="minorHAnsi"/>
          <w:b/>
          <w:bCs/>
          <w:i/>
          <w:iCs/>
          <w:sz w:val="28"/>
          <w:szCs w:val="28"/>
        </w:rPr>
      </w:pPr>
      <w:r w:rsidRPr="00B36876">
        <w:rPr>
          <w:rFonts w:ascii="Cambria" w:hAnsi="Cambria" w:cstheme="minorHAnsi"/>
          <w:b/>
          <w:bCs/>
          <w:i/>
          <w:iCs/>
          <w:sz w:val="28"/>
          <w:szCs w:val="28"/>
        </w:rPr>
        <w:t>Розвиток цифрової економіки та її секторів.</w:t>
      </w:r>
      <w:r w:rsidRPr="00B36876">
        <w:rPr>
          <w:rFonts w:ascii="Cambria" w:hAnsi="Cambria" w:cstheme="minorHAnsi"/>
          <w:b/>
          <w:bCs/>
          <w:sz w:val="28"/>
          <w:szCs w:val="28"/>
        </w:rPr>
        <w:t xml:space="preserve"> </w:t>
      </w:r>
    </w:p>
    <w:p w14:paraId="774115DF" w14:textId="77777777" w:rsidR="009E56F0" w:rsidRPr="00B36876" w:rsidRDefault="009E56F0" w:rsidP="009E56F0">
      <w:pPr>
        <w:pStyle w:val="a9"/>
        <w:numPr>
          <w:ilvl w:val="0"/>
          <w:numId w:val="5"/>
        </w:numPr>
        <w:spacing w:after="0" w:line="240" w:lineRule="auto"/>
        <w:ind w:left="0" w:firstLine="709"/>
        <w:jc w:val="both"/>
        <w:rPr>
          <w:rFonts w:ascii="Cambria" w:hAnsi="Cambria" w:cstheme="minorHAnsi"/>
          <w:b/>
          <w:bCs/>
          <w:i/>
          <w:iCs/>
          <w:sz w:val="28"/>
          <w:szCs w:val="28"/>
        </w:rPr>
      </w:pPr>
      <w:r w:rsidRPr="00B36876">
        <w:rPr>
          <w:rFonts w:ascii="Cambria" w:hAnsi="Cambria" w:cstheme="minorHAnsi"/>
          <w:b/>
          <w:bCs/>
          <w:i/>
          <w:iCs/>
          <w:sz w:val="28"/>
          <w:szCs w:val="28"/>
        </w:rPr>
        <w:t xml:space="preserve">Взаємодія Україна-ЄС: транспортна інфраструктура. </w:t>
      </w:r>
    </w:p>
    <w:p w14:paraId="39AA9D81" w14:textId="77777777" w:rsidR="009E56F0" w:rsidRPr="00B36876" w:rsidRDefault="009E56F0" w:rsidP="009E56F0">
      <w:pPr>
        <w:pStyle w:val="a9"/>
        <w:numPr>
          <w:ilvl w:val="0"/>
          <w:numId w:val="5"/>
        </w:numPr>
        <w:spacing w:after="0" w:line="240" w:lineRule="auto"/>
        <w:ind w:left="0" w:firstLine="709"/>
        <w:jc w:val="both"/>
        <w:rPr>
          <w:rFonts w:ascii="Cambria" w:hAnsi="Cambria" w:cstheme="minorHAnsi"/>
          <w:b/>
          <w:bCs/>
          <w:i/>
          <w:iCs/>
          <w:sz w:val="28"/>
          <w:szCs w:val="28"/>
        </w:rPr>
      </w:pPr>
      <w:r w:rsidRPr="00B36876">
        <w:rPr>
          <w:rFonts w:ascii="Cambria" w:hAnsi="Cambria" w:cstheme="minorHAnsi"/>
          <w:b/>
          <w:bCs/>
          <w:i/>
          <w:iCs/>
          <w:sz w:val="28"/>
          <w:szCs w:val="28"/>
        </w:rPr>
        <w:t>Співробітництво у банківському секторі.</w:t>
      </w:r>
      <w:r w:rsidRPr="00B36876">
        <w:rPr>
          <w:rFonts w:ascii="Cambria" w:hAnsi="Cambria" w:cstheme="minorHAnsi"/>
          <w:b/>
          <w:bCs/>
          <w:sz w:val="28"/>
          <w:szCs w:val="28"/>
        </w:rPr>
        <w:t xml:space="preserve"> </w:t>
      </w:r>
    </w:p>
    <w:p w14:paraId="221281F3" w14:textId="16F11475" w:rsidR="009E56F0" w:rsidRPr="00B36876" w:rsidRDefault="009E56F0" w:rsidP="009E56F0">
      <w:pPr>
        <w:pStyle w:val="a9"/>
        <w:numPr>
          <w:ilvl w:val="0"/>
          <w:numId w:val="5"/>
        </w:numPr>
        <w:spacing w:after="0" w:line="240" w:lineRule="auto"/>
        <w:ind w:left="0" w:firstLine="709"/>
        <w:jc w:val="both"/>
        <w:rPr>
          <w:rFonts w:ascii="Cambria" w:hAnsi="Cambria" w:cstheme="minorHAnsi"/>
          <w:b/>
          <w:bCs/>
          <w:i/>
          <w:iCs/>
          <w:sz w:val="28"/>
          <w:szCs w:val="28"/>
        </w:rPr>
      </w:pPr>
      <w:r w:rsidRPr="00B36876">
        <w:rPr>
          <w:rFonts w:ascii="Cambria" w:hAnsi="Cambria" w:cstheme="minorHAnsi"/>
          <w:b/>
          <w:bCs/>
          <w:i/>
          <w:iCs/>
          <w:sz w:val="28"/>
          <w:szCs w:val="28"/>
        </w:rPr>
        <w:t xml:space="preserve">Екологічний вимір євроінтеграції. </w:t>
      </w:r>
    </w:p>
    <w:bookmarkEnd w:id="0"/>
    <w:p w14:paraId="7CC7F9AC" w14:textId="77777777" w:rsidR="001E7A30" w:rsidRDefault="001E7A30" w:rsidP="009E56F0">
      <w:pPr>
        <w:spacing w:after="0" w:line="240" w:lineRule="auto"/>
        <w:jc w:val="both"/>
        <w:rPr>
          <w:rFonts w:ascii="Cambria" w:hAnsi="Cambria" w:cstheme="minorHAnsi"/>
          <w:b/>
          <w:bCs/>
          <w:sz w:val="28"/>
          <w:szCs w:val="28"/>
        </w:rPr>
      </w:pPr>
    </w:p>
    <w:p w14:paraId="7D95A520" w14:textId="0C62EA8D" w:rsidR="00B36876" w:rsidRPr="00B36876" w:rsidRDefault="00B36876" w:rsidP="00B36876">
      <w:pPr>
        <w:spacing w:after="0" w:line="240" w:lineRule="auto"/>
        <w:ind w:firstLine="709"/>
        <w:jc w:val="both"/>
        <w:rPr>
          <w:rFonts w:ascii="Cambria" w:hAnsi="Cambria" w:cstheme="minorHAnsi"/>
          <w:sz w:val="28"/>
          <w:szCs w:val="28"/>
        </w:rPr>
      </w:pPr>
      <w:r w:rsidRPr="00B36876">
        <w:rPr>
          <w:rFonts w:ascii="Cambria" w:hAnsi="Cambria" w:cstheme="minorHAnsi"/>
          <w:sz w:val="28"/>
          <w:szCs w:val="28"/>
        </w:rPr>
        <w:t>Cекторальна інтеграція в рамках Угоди про асоціацію охоплює великий масив сфер співробітництва Києва і Брюсселя – від енергетики та цифрового ринку до екології. Очевидно, що в цьому переліку немає “неважливих”, “другорядних” тем. Але також очевидною є необхідність пріоритизації секторального співробітництва, тобто виокремлення тих напрямів, які можуть стати “локомотивами” соціально-економічного розвитку країни, принести швидкий і відчутний результат.</w:t>
      </w:r>
    </w:p>
    <w:p w14:paraId="7A9D6D64" w14:textId="77777777" w:rsidR="00B36876" w:rsidRDefault="00B36876" w:rsidP="009E56F0">
      <w:pPr>
        <w:spacing w:after="0" w:line="240" w:lineRule="auto"/>
        <w:jc w:val="both"/>
        <w:rPr>
          <w:rFonts w:ascii="Cambria" w:hAnsi="Cambria" w:cstheme="minorHAnsi"/>
          <w:b/>
          <w:bCs/>
          <w:sz w:val="28"/>
          <w:szCs w:val="28"/>
        </w:rPr>
      </w:pPr>
    </w:p>
    <w:p w14:paraId="420223B5" w14:textId="6241350F" w:rsidR="00B36876" w:rsidRDefault="00B36876" w:rsidP="009E56F0">
      <w:pPr>
        <w:spacing w:after="0" w:line="240" w:lineRule="auto"/>
        <w:jc w:val="both"/>
        <w:rPr>
          <w:rFonts w:ascii="Cambria" w:hAnsi="Cambria" w:cstheme="minorHAnsi"/>
          <w:b/>
          <w:bCs/>
          <w:sz w:val="28"/>
          <w:szCs w:val="28"/>
        </w:rPr>
      </w:pPr>
      <w:r>
        <w:rPr>
          <w:rFonts w:ascii="Cambria" w:hAnsi="Cambria" w:cstheme="minorHAnsi"/>
          <w:b/>
          <w:bCs/>
          <w:sz w:val="28"/>
          <w:szCs w:val="28"/>
        </w:rPr>
        <w:t>ПИТАННЯ 1.</w:t>
      </w:r>
    </w:p>
    <w:p w14:paraId="6E57E584" w14:textId="77777777" w:rsidR="00712CC4" w:rsidRDefault="00712CC4" w:rsidP="00712CC4">
      <w:pPr>
        <w:spacing w:after="0" w:line="240" w:lineRule="auto"/>
        <w:ind w:firstLine="709"/>
        <w:jc w:val="both"/>
        <w:rPr>
          <w:rFonts w:ascii="Cambria" w:hAnsi="Cambria" w:cstheme="minorHAnsi"/>
          <w:sz w:val="28"/>
          <w:szCs w:val="28"/>
        </w:rPr>
      </w:pPr>
      <w:r w:rsidRPr="00712CC4">
        <w:rPr>
          <w:rFonts w:ascii="Cambria" w:hAnsi="Cambria" w:cstheme="minorHAnsi"/>
          <w:sz w:val="28"/>
          <w:szCs w:val="28"/>
        </w:rPr>
        <w:t xml:space="preserve">Головними документами, на яких базуються інтеграційні процеси у сфері енергетики, є Договір про заснування Енергетичного співтовариства та Угода про асоціацію Україна-ЄС. Також відіграє певну роль “Східне партнерство” – зовнішньополітична ініціатива Європейського Союзу, яка охоплює ЄС та його східноєвропейських сусідів – Україну, Молдову, Білорусь та Грузію, а також Вірменію та Азербайджан. </w:t>
      </w:r>
    </w:p>
    <w:p w14:paraId="6C356543" w14:textId="77777777" w:rsidR="00712CC4" w:rsidRDefault="00712CC4" w:rsidP="00712CC4">
      <w:pPr>
        <w:spacing w:after="0" w:line="240" w:lineRule="auto"/>
        <w:ind w:firstLine="709"/>
        <w:jc w:val="both"/>
        <w:rPr>
          <w:rFonts w:ascii="Cambria" w:hAnsi="Cambria" w:cstheme="minorHAnsi"/>
          <w:sz w:val="28"/>
          <w:szCs w:val="28"/>
        </w:rPr>
      </w:pPr>
      <w:r w:rsidRPr="00712CC4">
        <w:rPr>
          <w:rFonts w:ascii="Cambria" w:hAnsi="Cambria" w:cstheme="minorHAnsi"/>
          <w:sz w:val="28"/>
          <w:szCs w:val="28"/>
        </w:rPr>
        <w:t xml:space="preserve">Секторальна інтеграція України до ЄС у сфері енергетики означає постачання енергетичних товарів за допомогою стаціонарної інфраструктури для транспортування і дистрибуції. Угода про асоціацію Україна-ЄС (Глава 11 “Питання, пов’язані з торгівлею енергоносіями”) чітко відносить до енергетичних товарів: природний газ (код ГС5: 2711), електроенергію (код ГС: 2716), сиру нафту (код ГС: 2709). </w:t>
      </w:r>
    </w:p>
    <w:p w14:paraId="42327156" w14:textId="77777777" w:rsidR="00712CC4" w:rsidRDefault="00712CC4" w:rsidP="00712CC4">
      <w:pPr>
        <w:spacing w:after="0" w:line="240" w:lineRule="auto"/>
        <w:ind w:firstLine="709"/>
        <w:jc w:val="both"/>
        <w:rPr>
          <w:rFonts w:ascii="Cambria" w:hAnsi="Cambria" w:cstheme="minorHAnsi"/>
          <w:sz w:val="28"/>
          <w:szCs w:val="28"/>
        </w:rPr>
      </w:pPr>
      <w:r w:rsidRPr="00712CC4">
        <w:rPr>
          <w:rFonts w:ascii="Cambria" w:hAnsi="Cambria" w:cstheme="minorHAnsi"/>
          <w:sz w:val="28"/>
          <w:szCs w:val="28"/>
        </w:rPr>
        <w:t>Відповідно до цього, магістральними напрямами є співпраця по мережевих секторах енергетики – газ та електроенергія, дистрибуція яких споживачам неможлива без відповідних мереж трубопроводів та ліній електропередачі. Співпраця у нафтовому сек торі зосереджена на створенні мінімальних запасів сирої нафти та нафтопродуктів на випадок</w:t>
      </w:r>
      <w:r>
        <w:rPr>
          <w:rFonts w:ascii="Cambria" w:hAnsi="Cambria" w:cstheme="minorHAnsi"/>
          <w:sz w:val="28"/>
          <w:szCs w:val="28"/>
        </w:rPr>
        <w:t xml:space="preserve"> </w:t>
      </w:r>
      <w:r w:rsidRPr="00712CC4">
        <w:rPr>
          <w:rFonts w:ascii="Cambria" w:hAnsi="Cambria" w:cstheme="minorHAnsi"/>
          <w:sz w:val="28"/>
          <w:szCs w:val="28"/>
        </w:rPr>
        <w:t>надзвичайних ситуацій. В Україні енергетичне законодавство Європейського Союзу впроваджується не синхронно, а постфактум. Україна, ще до підписання Угоди про асоціацію, у 2011р. приєдналася до Договору про заснування Енергетичного співтовариства (ДЕС),</w:t>
      </w:r>
      <w:r>
        <w:rPr>
          <w:rFonts w:ascii="Cambria" w:hAnsi="Cambria" w:cstheme="minorHAnsi"/>
          <w:sz w:val="28"/>
          <w:szCs w:val="28"/>
        </w:rPr>
        <w:t xml:space="preserve"> </w:t>
      </w:r>
      <w:r w:rsidRPr="00712CC4">
        <w:rPr>
          <w:rFonts w:ascii="Cambria" w:hAnsi="Cambria" w:cstheme="minorHAnsi"/>
          <w:sz w:val="28"/>
          <w:szCs w:val="28"/>
        </w:rPr>
        <w:t xml:space="preserve">у рамках якого також імплементується європейське енергетичне законодавство, але там діють інші, ніж в ЄС, механізми. Наприклад, наразі в ДЕС імплементуються директиви і регламенти щодо газу та електроенергії, які відрізняються від </w:t>
      </w:r>
      <w:r w:rsidRPr="00712CC4">
        <w:rPr>
          <w:rFonts w:ascii="Cambria" w:hAnsi="Cambria" w:cstheme="minorHAnsi"/>
          <w:sz w:val="28"/>
          <w:szCs w:val="28"/>
        </w:rPr>
        <w:lastRenderedPageBreak/>
        <w:t xml:space="preserve">тих, що впроваджуються у країнах-членах ЄС (таблиця “Головні законодавчі акти ЄС ...”). </w:t>
      </w:r>
    </w:p>
    <w:p w14:paraId="4937D38E" w14:textId="69E8BDE5" w:rsidR="00712CC4" w:rsidRDefault="00712CC4" w:rsidP="00712CC4">
      <w:pPr>
        <w:spacing w:after="0" w:line="240" w:lineRule="auto"/>
        <w:jc w:val="both"/>
        <w:rPr>
          <w:rFonts w:ascii="Cambria" w:hAnsi="Cambria" w:cstheme="minorHAnsi"/>
          <w:sz w:val="28"/>
          <w:szCs w:val="28"/>
        </w:rPr>
      </w:pPr>
      <w:r w:rsidRPr="00712CC4">
        <w:rPr>
          <w:rFonts w:ascii="Cambria" w:hAnsi="Cambria" w:cstheme="minorHAnsi"/>
          <w:sz w:val="28"/>
          <w:szCs w:val="28"/>
        </w:rPr>
        <w:drawing>
          <wp:inline distT="0" distB="0" distL="0" distR="0" wp14:anchorId="20C9F587" wp14:editId="7FECD375">
            <wp:extent cx="6120765" cy="3017520"/>
            <wp:effectExtent l="0" t="0" r="0" b="0"/>
            <wp:docPr id="1089359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35980" name=""/>
                    <pic:cNvPicPr/>
                  </pic:nvPicPr>
                  <pic:blipFill>
                    <a:blip r:embed="rId5"/>
                    <a:stretch>
                      <a:fillRect/>
                    </a:stretch>
                  </pic:blipFill>
                  <pic:spPr>
                    <a:xfrm>
                      <a:off x="0" y="0"/>
                      <a:ext cx="6120765" cy="3017520"/>
                    </a:xfrm>
                    <a:prstGeom prst="rect">
                      <a:avLst/>
                    </a:prstGeom>
                  </pic:spPr>
                </pic:pic>
              </a:graphicData>
            </a:graphic>
          </wp:inline>
        </w:drawing>
      </w:r>
    </w:p>
    <w:p w14:paraId="26D6FCDA" w14:textId="77777777" w:rsidR="00712CC4" w:rsidRDefault="00712CC4" w:rsidP="00712CC4">
      <w:pPr>
        <w:spacing w:after="0" w:line="240" w:lineRule="auto"/>
        <w:ind w:firstLine="709"/>
        <w:jc w:val="both"/>
        <w:rPr>
          <w:rFonts w:ascii="Cambria" w:hAnsi="Cambria" w:cstheme="minorHAnsi"/>
          <w:sz w:val="28"/>
          <w:szCs w:val="28"/>
        </w:rPr>
      </w:pPr>
    </w:p>
    <w:p w14:paraId="2BB53865" w14:textId="2FB7A859" w:rsidR="00B36876" w:rsidRDefault="00712CC4" w:rsidP="00712CC4">
      <w:pPr>
        <w:spacing w:after="0" w:line="240" w:lineRule="auto"/>
        <w:ind w:firstLine="709"/>
        <w:jc w:val="both"/>
        <w:rPr>
          <w:rFonts w:ascii="Cambria" w:hAnsi="Cambria" w:cstheme="minorHAnsi"/>
          <w:sz w:val="28"/>
          <w:szCs w:val="28"/>
        </w:rPr>
      </w:pPr>
      <w:r w:rsidRPr="00712CC4">
        <w:rPr>
          <w:rFonts w:ascii="Cambria" w:hAnsi="Cambria" w:cstheme="minorHAnsi"/>
          <w:sz w:val="28"/>
          <w:szCs w:val="28"/>
        </w:rPr>
        <w:t>Енергетичне законодавство ЄС постійно оновлюється і удосконалюється. Щоб менше відставати від розвитку законодавства ЄС, статті 24 та 25 ДЕС дозволяють адаптувати acquis та впроваджувати можливі поправки. Рішення щодо адаптації директив і регламентів та внесення змін до існуючих юридичних зобов’язань</w:t>
      </w:r>
      <w:r>
        <w:rPr>
          <w:rFonts w:ascii="Cambria" w:hAnsi="Cambria" w:cstheme="minorHAnsi"/>
          <w:sz w:val="28"/>
          <w:szCs w:val="28"/>
        </w:rPr>
        <w:t xml:space="preserve"> </w:t>
      </w:r>
      <w:r w:rsidRPr="00712CC4">
        <w:rPr>
          <w:rFonts w:ascii="Cambria" w:hAnsi="Cambria" w:cstheme="minorHAnsi"/>
          <w:sz w:val="28"/>
          <w:szCs w:val="28"/>
        </w:rPr>
        <w:t>співтовариства (РМ ЕнС) або Постійною групою високого рівня (Permanent High Level Group, PHLG) на основі пропозиції Європейської Комісії. Україна, як контрактна сторона ДЕС, імплементує “Газову директиву” (Директива Європарламенту та Євро ради 2009/73/ЄС), яка була адаптована Енергетичним Співтовариством у 2011р. згідно з рішенням РМ ЕнС.</w:t>
      </w:r>
    </w:p>
    <w:p w14:paraId="3AE0D974" w14:textId="21774949" w:rsidR="00712CC4" w:rsidRDefault="00712CC4" w:rsidP="00712CC4">
      <w:pPr>
        <w:spacing w:after="0" w:line="240" w:lineRule="auto"/>
        <w:ind w:firstLine="709"/>
        <w:jc w:val="both"/>
        <w:rPr>
          <w:rFonts w:ascii="Cambria" w:hAnsi="Cambria" w:cstheme="minorHAnsi"/>
          <w:sz w:val="28"/>
          <w:szCs w:val="28"/>
        </w:rPr>
      </w:pPr>
      <w:r w:rsidRPr="00712CC4">
        <w:rPr>
          <w:rFonts w:ascii="Cambria" w:hAnsi="Cambria" w:cstheme="minorHAnsi"/>
          <w:sz w:val="28"/>
          <w:szCs w:val="28"/>
        </w:rPr>
        <w:t>Співробітництво з метою гарантування безпеки постачання на внутрішньому ринку природного газу в разі виникнення надзвичайної ситуації, яка може призвести до припинення постачання газу, здійснюється відповідно до Директиви 2004/67/ЄС від 26 квітня 2004</w:t>
      </w:r>
      <w:r>
        <w:rPr>
          <w:rFonts w:ascii="Cambria" w:hAnsi="Cambria" w:cstheme="minorHAnsi"/>
          <w:sz w:val="28"/>
          <w:szCs w:val="28"/>
        </w:rPr>
        <w:t xml:space="preserve"> </w:t>
      </w:r>
      <w:r w:rsidRPr="00712CC4">
        <w:rPr>
          <w:rFonts w:ascii="Cambria" w:hAnsi="Cambria" w:cstheme="minorHAnsi"/>
          <w:sz w:val="28"/>
          <w:szCs w:val="28"/>
        </w:rPr>
        <w:t>р. “Про заходи гарантування безпеки постачання природного газу”. Наразі цей документ втратив чинність в ЄС, і замість нього діє Регламент (ЄС) 1938/2017 від 25 жовтня 2017</w:t>
      </w:r>
      <w:r>
        <w:rPr>
          <w:rFonts w:ascii="Cambria" w:hAnsi="Cambria" w:cstheme="minorHAnsi"/>
          <w:sz w:val="28"/>
          <w:szCs w:val="28"/>
        </w:rPr>
        <w:t xml:space="preserve"> </w:t>
      </w:r>
      <w:r w:rsidRPr="00712CC4">
        <w:rPr>
          <w:rFonts w:ascii="Cambria" w:hAnsi="Cambria" w:cstheme="minorHAnsi"/>
          <w:sz w:val="28"/>
          <w:szCs w:val="28"/>
        </w:rPr>
        <w:t>р., який створює систему безпеки ЄС. Зокрема регламентуються плани попередження та дій на випадок криз, процедури залучення компаній різних форм власності до реагування на випадок криз, визначення критеріїв кризової ситуації та встановлення вимог щодо застосування різних механізмів реагування,</w:t>
      </w:r>
      <w:r>
        <w:rPr>
          <w:rFonts w:ascii="Cambria" w:hAnsi="Cambria" w:cstheme="minorHAnsi"/>
          <w:sz w:val="28"/>
          <w:szCs w:val="28"/>
        </w:rPr>
        <w:t xml:space="preserve"> </w:t>
      </w:r>
      <w:r w:rsidRPr="00712CC4">
        <w:rPr>
          <w:rFonts w:ascii="Cambria" w:hAnsi="Cambria" w:cstheme="minorHAnsi"/>
          <w:sz w:val="28"/>
          <w:szCs w:val="28"/>
        </w:rPr>
        <w:t>залежно від рівня кризи, процедури взаємодопомоги країн, підприємств галузі, споживачів на всіх рівнях ЄС.</w:t>
      </w:r>
    </w:p>
    <w:p w14:paraId="5A261CB1" w14:textId="77777777" w:rsidR="00712CC4" w:rsidRDefault="00712CC4" w:rsidP="00712CC4">
      <w:pPr>
        <w:spacing w:after="0" w:line="240" w:lineRule="auto"/>
        <w:ind w:firstLine="709"/>
        <w:jc w:val="both"/>
        <w:rPr>
          <w:rFonts w:ascii="Cambria" w:hAnsi="Cambria" w:cstheme="minorHAnsi"/>
          <w:sz w:val="28"/>
          <w:szCs w:val="28"/>
        </w:rPr>
      </w:pPr>
      <w:r w:rsidRPr="00712CC4">
        <w:rPr>
          <w:rFonts w:ascii="Cambria" w:hAnsi="Cambria" w:cstheme="minorHAnsi"/>
          <w:sz w:val="28"/>
          <w:szCs w:val="28"/>
        </w:rPr>
        <w:t xml:space="preserve">Після адаптації для Енергетичного Співтовариства з Регламенту (ЄС) 715/2009 щодо доступу до газо вих мереж було вилучено статті стосовно діяльності Європейської мережі операторів систем передачі газу (ENTSOG7). Зокрема ст.8 “Завдання ENTSO з питань газу” регламентує довгострокове планування розвитку інфраструктури. Згідно з п.10 ст.8 неадаптованого </w:t>
      </w:r>
      <w:r w:rsidRPr="00712CC4">
        <w:rPr>
          <w:rFonts w:ascii="Cambria" w:hAnsi="Cambria" w:cstheme="minorHAnsi"/>
          <w:sz w:val="28"/>
          <w:szCs w:val="28"/>
        </w:rPr>
        <w:lastRenderedPageBreak/>
        <w:t xml:space="preserve">Регламенту 715/2009, ENTSOG ухвалює та оприлюднює План ЄС з розвитку газових мереж що два роки. План Співтовариства з розвитку мережі повинен охоплю вати моделювання інтегрованої мережі, сценарій розвитку, європейський прогноз адекватності постачання та оцінку стійкості системи. </w:t>
      </w:r>
    </w:p>
    <w:p w14:paraId="4503FF3D" w14:textId="0327AA0A" w:rsidR="00712CC4" w:rsidRDefault="00712CC4" w:rsidP="00712CC4">
      <w:pPr>
        <w:spacing w:after="0" w:line="240" w:lineRule="auto"/>
        <w:ind w:firstLine="709"/>
        <w:jc w:val="both"/>
        <w:rPr>
          <w:rFonts w:ascii="Cambria" w:hAnsi="Cambria" w:cstheme="minorHAnsi"/>
          <w:sz w:val="28"/>
          <w:szCs w:val="28"/>
        </w:rPr>
      </w:pPr>
      <w:r w:rsidRPr="00712CC4">
        <w:rPr>
          <w:rFonts w:ascii="Cambria" w:hAnsi="Cambria" w:cstheme="minorHAnsi"/>
          <w:sz w:val="28"/>
          <w:szCs w:val="28"/>
        </w:rPr>
        <w:t>Таким чином</w:t>
      </w:r>
      <w:r>
        <w:rPr>
          <w:rFonts w:ascii="Cambria" w:hAnsi="Cambria" w:cstheme="minorHAnsi"/>
          <w:sz w:val="28"/>
          <w:szCs w:val="28"/>
        </w:rPr>
        <w:t>,</w:t>
      </w:r>
      <w:r w:rsidRPr="00712CC4">
        <w:rPr>
          <w:rFonts w:ascii="Cambria" w:hAnsi="Cambria" w:cstheme="minorHAnsi"/>
          <w:sz w:val="28"/>
          <w:szCs w:val="28"/>
        </w:rPr>
        <w:t xml:space="preserve"> можна дійти висновку, що Україна, ЄС та Енергетичне Співтовариство розвивають енергетичні ринки, які базуються на одному законодавстві, але існують паралельно. А діяльність ENTSOG не повною мірою враховує інтереси та можливості України.</w:t>
      </w:r>
    </w:p>
    <w:p w14:paraId="1F0D5FBE" w14:textId="77777777" w:rsidR="00712CC4" w:rsidRDefault="00712CC4" w:rsidP="00712CC4">
      <w:pPr>
        <w:spacing w:after="0" w:line="240" w:lineRule="auto"/>
        <w:ind w:firstLine="709"/>
        <w:jc w:val="both"/>
        <w:rPr>
          <w:rFonts w:ascii="Cambria" w:hAnsi="Cambria" w:cstheme="minorHAnsi"/>
          <w:sz w:val="28"/>
          <w:szCs w:val="28"/>
        </w:rPr>
      </w:pPr>
      <w:r w:rsidRPr="00712CC4">
        <w:rPr>
          <w:rFonts w:ascii="Cambria" w:hAnsi="Cambria" w:cstheme="minorHAnsi"/>
          <w:sz w:val="28"/>
          <w:szCs w:val="28"/>
        </w:rPr>
        <w:t xml:space="preserve">Для повної секторальної інтеграції України і ЄС має бути ухвалене рішення, що Україна може впроваджувати енергетичне законодавство ЄС не в адаптованому, а в автентичному вигляді з зобов’язаннями і правами, ідентичними з країнами-членами ЄС. Тим більше, що Енергетичне Співтовариство може зазнати суттєвої трансформації в контексті втягування Брюсселем країн Західних Балкан до ЄС. Внаслідок цього, означені країни будуть у подальшому впроваджувати енергетичне законодавство ЄС в автентичному вигляді. </w:t>
      </w:r>
    </w:p>
    <w:p w14:paraId="24F33385" w14:textId="76D71397" w:rsidR="00712CC4" w:rsidRDefault="00712CC4" w:rsidP="00712CC4">
      <w:pPr>
        <w:spacing w:after="0" w:line="240" w:lineRule="auto"/>
        <w:ind w:firstLine="709"/>
        <w:jc w:val="both"/>
        <w:rPr>
          <w:rFonts w:ascii="Cambria" w:hAnsi="Cambria" w:cstheme="minorHAnsi"/>
          <w:sz w:val="28"/>
          <w:szCs w:val="28"/>
        </w:rPr>
      </w:pPr>
      <w:r w:rsidRPr="00712CC4">
        <w:rPr>
          <w:rFonts w:ascii="Cambria" w:hAnsi="Cambria" w:cstheme="minorHAnsi"/>
          <w:sz w:val="28"/>
          <w:szCs w:val="28"/>
        </w:rPr>
        <w:t>Практично, Енергетичне Співтовариство після прийняття балканських країн до ЄС звузиться до трьох країн Східного партнерства – України, Молдови та Грузії, які мають угоди про асоціацію з ЄС. Виходячи з такої перспективи, важливо домагатися від ЄС переходу на впровадження енергетичного законодавства в автентичному вигляді задля створення гомогенного енергетичного простору на сході Європи. Частково ця мета може бути досягнута через механізми Додатка XXVII до Угоди про асоціацію, який був оновлений і затверджений Верховною Радою 6 червня 2019</w:t>
      </w:r>
      <w:r>
        <w:rPr>
          <w:rFonts w:ascii="Cambria" w:hAnsi="Cambria" w:cstheme="minorHAnsi"/>
          <w:sz w:val="28"/>
          <w:szCs w:val="28"/>
        </w:rPr>
        <w:t xml:space="preserve"> </w:t>
      </w:r>
      <w:r w:rsidRPr="00712CC4">
        <w:rPr>
          <w:rFonts w:ascii="Cambria" w:hAnsi="Cambria" w:cstheme="minorHAnsi"/>
          <w:sz w:val="28"/>
          <w:szCs w:val="28"/>
        </w:rPr>
        <w:t>р. Оновлення Додатка відбулося на підставі Рішення Ради асоціації, в якому нагадується, що “метою активізації співпраці у сфері енергетики та реформи в енергетичному секторі є повна інтеграція енергетичних ринків ЄС та України”.</w:t>
      </w:r>
    </w:p>
    <w:p w14:paraId="1C38CEAA" w14:textId="4A5D1F7B" w:rsidR="00333F56" w:rsidRDefault="00333F56" w:rsidP="00712CC4">
      <w:pPr>
        <w:spacing w:after="0" w:line="240" w:lineRule="auto"/>
        <w:ind w:firstLine="709"/>
        <w:jc w:val="both"/>
        <w:rPr>
          <w:rFonts w:ascii="Cambria" w:hAnsi="Cambria" w:cstheme="minorHAnsi"/>
          <w:sz w:val="28"/>
          <w:szCs w:val="28"/>
        </w:rPr>
      </w:pPr>
      <w:r w:rsidRPr="00333F56">
        <w:rPr>
          <w:rFonts w:ascii="Cambria" w:hAnsi="Cambria" w:cstheme="minorHAnsi"/>
          <w:i/>
          <w:iCs/>
          <w:sz w:val="28"/>
          <w:szCs w:val="28"/>
        </w:rPr>
        <w:t>Переваги входження в ринок ЄС.</w:t>
      </w:r>
      <w:r w:rsidRPr="00333F56">
        <w:rPr>
          <w:rFonts w:ascii="Cambria" w:hAnsi="Cambria" w:cstheme="minorHAnsi"/>
          <w:sz w:val="28"/>
          <w:szCs w:val="28"/>
        </w:rPr>
        <w:t xml:space="preserve"> </w:t>
      </w:r>
      <w:r w:rsidRPr="00333F56">
        <w:rPr>
          <w:rFonts w:ascii="Cambria" w:hAnsi="Cambria" w:cstheme="minorHAnsi"/>
          <w:i/>
          <w:iCs/>
          <w:sz w:val="28"/>
          <w:szCs w:val="28"/>
        </w:rPr>
        <w:t>Нові європейські ринкові інструменти Природний газ</w:t>
      </w:r>
      <w:r w:rsidRPr="00333F56">
        <w:rPr>
          <w:rFonts w:ascii="Cambria" w:hAnsi="Cambria" w:cstheme="minorHAnsi"/>
          <w:i/>
          <w:iCs/>
          <w:sz w:val="28"/>
          <w:szCs w:val="28"/>
        </w:rPr>
        <w:t>.</w:t>
      </w:r>
      <w:r w:rsidRPr="00333F56">
        <w:rPr>
          <w:rFonts w:ascii="Cambria" w:hAnsi="Cambria" w:cstheme="minorHAnsi"/>
          <w:i/>
          <w:iCs/>
          <w:sz w:val="28"/>
          <w:szCs w:val="28"/>
        </w:rPr>
        <w:t xml:space="preserve"> </w:t>
      </w:r>
      <w:r w:rsidRPr="00333F56">
        <w:rPr>
          <w:rFonts w:ascii="Cambria" w:hAnsi="Cambria" w:cstheme="minorHAnsi"/>
          <w:sz w:val="28"/>
          <w:szCs w:val="28"/>
        </w:rPr>
        <w:t>Ринок газу ЄС створюється з 1999</w:t>
      </w:r>
      <w:r>
        <w:rPr>
          <w:rFonts w:ascii="Cambria" w:hAnsi="Cambria" w:cstheme="minorHAnsi"/>
          <w:sz w:val="28"/>
          <w:szCs w:val="28"/>
        </w:rPr>
        <w:t xml:space="preserve"> </w:t>
      </w:r>
      <w:r w:rsidRPr="00333F56">
        <w:rPr>
          <w:rFonts w:ascii="Cambria" w:hAnsi="Cambria" w:cstheme="minorHAnsi"/>
          <w:sz w:val="28"/>
          <w:szCs w:val="28"/>
        </w:rPr>
        <w:t>р. задля підвищення ефективності, досягнення конкурентних цін, покращення якості обслуговування, а також для сприяння безпеці постачань і стабільності. Стосовно природного газу основним документом є Директива про спільні правила внутрішнього ринку природного газу. Розмежування (unbundling) транспортних мереж та діяльності з виробництва і постачання газу визнано обов’язковим етапом побудови ринку. Це передбачає створення незалежного оператора з транспортування/зберігання для гарантування повної</w:t>
      </w:r>
      <w:r w:rsidRPr="00333F56">
        <w:t xml:space="preserve"> </w:t>
      </w:r>
      <w:r w:rsidRPr="00333F56">
        <w:rPr>
          <w:rFonts w:ascii="Cambria" w:hAnsi="Cambria" w:cstheme="minorHAnsi"/>
          <w:sz w:val="28"/>
          <w:szCs w:val="28"/>
        </w:rPr>
        <w:t xml:space="preserve">незалежності експлуатації мережі від інтересів постачання та виробництва. Важливо, що вимоги розмежування поширюються на суб’єктів з третіх країн, наприклад, “Газпром”. Їм може бути дозволено контролювати газотранспортну систему в ЄС лише в разі ефективного розмежування та виконання інших вимог, передбачених законодавством ЄС. Отже, участь у ринку ЄС дозволяє Україні мати ще одну перевагу – захист від дискримінаційних монопольних дій. </w:t>
      </w:r>
    </w:p>
    <w:p w14:paraId="0389B345" w14:textId="27674A3A" w:rsidR="00712CC4" w:rsidRDefault="00333F56" w:rsidP="00712CC4">
      <w:pPr>
        <w:spacing w:after="0" w:line="240" w:lineRule="auto"/>
        <w:ind w:firstLine="709"/>
        <w:jc w:val="both"/>
        <w:rPr>
          <w:rFonts w:ascii="Cambria" w:hAnsi="Cambria" w:cstheme="minorHAnsi"/>
          <w:sz w:val="28"/>
          <w:szCs w:val="28"/>
        </w:rPr>
      </w:pPr>
      <w:r>
        <w:rPr>
          <w:rFonts w:ascii="Cambria" w:hAnsi="Cambria" w:cstheme="minorHAnsi"/>
          <w:sz w:val="28"/>
          <w:szCs w:val="28"/>
        </w:rPr>
        <w:lastRenderedPageBreak/>
        <w:t xml:space="preserve"> </w:t>
      </w:r>
      <w:r w:rsidR="000D5482" w:rsidRPr="000D5482">
        <w:rPr>
          <w:rFonts w:ascii="Cambria" w:hAnsi="Cambria" w:cstheme="minorHAnsi"/>
          <w:sz w:val="28"/>
          <w:szCs w:val="28"/>
        </w:rPr>
        <w:t>Ще одним важливим європейським ринковим інструментом є біржова торгівля природним газом – важлива ознака конкурентності ринку. Ринок ЄС поділений на торговельні зони-центри газової торгівлі – хаби, в яких функціонують газові біржі. Найбільш ліквідні та важливі для України – NCG, Gaspool, CEGH. Аналогічна біржа може бути створена в Україні на базі ТБ “Українська енергетична біржа”. Процес підтримується Енергетичним співтовариством та ЄБРР, про що 30 липня 2020</w:t>
      </w:r>
      <w:r w:rsidR="000D5482">
        <w:rPr>
          <w:rFonts w:ascii="Cambria" w:hAnsi="Cambria" w:cstheme="minorHAnsi"/>
          <w:sz w:val="28"/>
          <w:szCs w:val="28"/>
        </w:rPr>
        <w:t xml:space="preserve"> </w:t>
      </w:r>
      <w:r w:rsidR="000D5482" w:rsidRPr="000D5482">
        <w:rPr>
          <w:rFonts w:ascii="Cambria" w:hAnsi="Cambria" w:cstheme="minorHAnsi"/>
          <w:sz w:val="28"/>
          <w:szCs w:val="28"/>
        </w:rPr>
        <w:t>р. підписано багатосторонній Меморандум про розвиток газової біржі в Україні з метою підтримки реструктуризації українського газового сектору</w:t>
      </w:r>
      <w:r w:rsidR="000D5482">
        <w:rPr>
          <w:rFonts w:ascii="Cambria" w:hAnsi="Cambria" w:cstheme="minorHAnsi"/>
          <w:sz w:val="28"/>
          <w:szCs w:val="28"/>
        </w:rPr>
        <w:t xml:space="preserve"> </w:t>
      </w:r>
      <w:r w:rsidR="000D5482" w:rsidRPr="000D5482">
        <w:rPr>
          <w:rFonts w:ascii="Cambria" w:hAnsi="Cambria" w:cstheme="minorHAnsi"/>
          <w:sz w:val="28"/>
          <w:szCs w:val="28"/>
        </w:rPr>
        <w:t>відповідно до законодавства ЄС та забезпечення конкуренції на ринку, що позитивно вплине на українських споживачів.</w:t>
      </w:r>
    </w:p>
    <w:p w14:paraId="6F8F222D" w14:textId="4400B04D" w:rsidR="000D5482" w:rsidRDefault="000D5482" w:rsidP="00712CC4">
      <w:pPr>
        <w:spacing w:after="0" w:line="240" w:lineRule="auto"/>
        <w:ind w:firstLine="709"/>
        <w:jc w:val="both"/>
        <w:rPr>
          <w:rFonts w:ascii="Cambria" w:hAnsi="Cambria" w:cstheme="minorHAnsi"/>
          <w:sz w:val="28"/>
          <w:szCs w:val="28"/>
        </w:rPr>
      </w:pPr>
      <w:r w:rsidRPr="000D5482">
        <w:rPr>
          <w:rFonts w:ascii="Cambria" w:hAnsi="Cambria" w:cstheme="minorHAnsi"/>
          <w:i/>
          <w:iCs/>
          <w:sz w:val="28"/>
          <w:szCs w:val="28"/>
        </w:rPr>
        <w:t>Електроенергетика</w:t>
      </w:r>
      <w:r w:rsidRPr="000D5482">
        <w:rPr>
          <w:rFonts w:ascii="Cambria" w:hAnsi="Cambria" w:cstheme="minorHAnsi"/>
          <w:i/>
          <w:iCs/>
          <w:sz w:val="28"/>
          <w:szCs w:val="28"/>
        </w:rPr>
        <w:t>.</w:t>
      </w:r>
      <w:r w:rsidRPr="000D5482">
        <w:rPr>
          <w:rFonts w:ascii="Cambria" w:hAnsi="Cambria" w:cstheme="minorHAnsi"/>
          <w:sz w:val="28"/>
          <w:szCs w:val="28"/>
        </w:rPr>
        <w:t xml:space="preserve"> Згідно з Законом України “Про ринок електричної енергії” з 1 липня 2019</w:t>
      </w:r>
      <w:r>
        <w:rPr>
          <w:rFonts w:ascii="Cambria" w:hAnsi="Cambria" w:cstheme="minorHAnsi"/>
          <w:sz w:val="28"/>
          <w:szCs w:val="28"/>
        </w:rPr>
        <w:t xml:space="preserve"> </w:t>
      </w:r>
      <w:r w:rsidRPr="000D5482">
        <w:rPr>
          <w:rFonts w:ascii="Cambria" w:hAnsi="Cambria" w:cstheme="minorHAnsi"/>
          <w:sz w:val="28"/>
          <w:szCs w:val="28"/>
        </w:rPr>
        <w:t>р. запрацювала нова модель ринку електроенергії, що потенційно створює багато нових можливостей для споживачів. Однією з них є вибір постачальника електроенергії. Організацією купівлі-продажу електричної енергії на ринку “на добу наперед” (ДН) та внутрішньодобовому ринку займається ДП “Оператор ринку” (ОР). Важливо, що ОР працює прозоро за принципом біржі, електроенергія продається цілодобово без вихідних із застосуванням автоматичного режиму, який виключає втручання у процес. Отже прозорість ринку підвищено, що відмічається ЄС. Починаючи з ІІІ кв. 2019</w:t>
      </w:r>
      <w:r>
        <w:rPr>
          <w:rFonts w:ascii="Cambria" w:hAnsi="Cambria" w:cstheme="minorHAnsi"/>
          <w:sz w:val="28"/>
          <w:szCs w:val="28"/>
        </w:rPr>
        <w:t xml:space="preserve"> </w:t>
      </w:r>
      <w:r w:rsidRPr="000D5482">
        <w:rPr>
          <w:rFonts w:ascii="Cambria" w:hAnsi="Cambria" w:cstheme="minorHAnsi"/>
          <w:sz w:val="28"/>
          <w:szCs w:val="28"/>
        </w:rPr>
        <w:t>р. дані українського ринку наводяться поруч з країнами ЄС (карта “Порівняння середніх оптових цін РДН на електро енергію з базовим навантаженням”) у квартальному Звіті по європейському ринку електроенергії18, який готує Генеральний Директорат енергетики (DG Energy), відповідальний за енергетичну політику ЄС. Цей аспект є позитивним і наближаючим до ринку ЄС та надає можливість порівняння. Україна має наміри приєднатись до чотирьох держав ЄС, які мають спільний ринковий простір – Угорщина, Словаччина, Чехія та Румунія, а потім – до єдиної європейської системи. Проте це стане можливим у разі технічного приєднання, яке зараз має лише Бурштинський енергоострів.</w:t>
      </w:r>
    </w:p>
    <w:p w14:paraId="486DA1A6" w14:textId="16A5ADE0" w:rsidR="000D5482" w:rsidRDefault="00624FC8" w:rsidP="00712CC4">
      <w:pPr>
        <w:spacing w:after="0" w:line="240" w:lineRule="auto"/>
        <w:ind w:firstLine="709"/>
        <w:jc w:val="both"/>
        <w:rPr>
          <w:rFonts w:ascii="Cambria" w:hAnsi="Cambria" w:cstheme="minorHAnsi"/>
          <w:sz w:val="28"/>
          <w:szCs w:val="28"/>
        </w:rPr>
      </w:pPr>
      <w:r w:rsidRPr="00624FC8">
        <w:rPr>
          <w:rFonts w:ascii="Cambria" w:hAnsi="Cambria" w:cstheme="minorHAnsi"/>
          <w:i/>
          <w:iCs/>
          <w:sz w:val="28"/>
          <w:szCs w:val="28"/>
        </w:rPr>
        <w:t>Нафтовий резерв</w:t>
      </w:r>
      <w:r>
        <w:rPr>
          <w:rFonts w:ascii="Cambria" w:hAnsi="Cambria" w:cstheme="minorHAnsi"/>
          <w:sz w:val="28"/>
          <w:szCs w:val="28"/>
        </w:rPr>
        <w:t>.</w:t>
      </w:r>
      <w:r w:rsidRPr="00624FC8">
        <w:rPr>
          <w:rFonts w:ascii="Cambria" w:hAnsi="Cambria" w:cstheme="minorHAnsi"/>
          <w:sz w:val="28"/>
          <w:szCs w:val="28"/>
        </w:rPr>
        <w:t xml:space="preserve"> Угода про асоціацію з ЄС, членство в Енергетичному Співтоваристві зобов’язують поступово впроваджувати енергетичне законодавство ЄС, яке стосується вимог мінімальних запасів нафти і нафтопродуктів (Директива 2009/119/EC). Кожна країна повинна мати загальні запаси в обсягах, які дорівнюють 90 дням чистого імпорту, або 61 добі середньодобового споживання і додатково 10% запасів кожного типу продуктів. Регламентується, що принаймні третину запасів повинні складати нафтопродукти. Також має бути розроблений алгоритм дій на випадок надзвичай них ситуацій, який затверджується у спеціальному плані. Виконання вимог щодо запасів є важливим і з точки зору енергетичної безпеки. Україна щорічно витрачає для імпорту нафтопродуктів декілька мільярдів доларів. Імпортовані нафтопродукти становлять приблизно 3/4 загального споживання. Причому левова частка надходить з країни- агресора – РФ. Спільно з зарубіжними експертами за сприяння Енергетичного Співтовариства Держрезерв розрахував </w:t>
      </w:r>
      <w:r w:rsidRPr="00624FC8">
        <w:rPr>
          <w:rFonts w:ascii="Cambria" w:hAnsi="Cambria" w:cstheme="minorHAnsi"/>
          <w:sz w:val="28"/>
          <w:szCs w:val="28"/>
        </w:rPr>
        <w:lastRenderedPageBreak/>
        <w:t>мінімальний обсяг нафти та нафтопродуктів, а також розробив план заходів до робочого плану з імплементації Директиви 2009/119/ЕС. Розрахунки</w:t>
      </w:r>
      <w:r>
        <w:rPr>
          <w:rFonts w:ascii="Cambria" w:hAnsi="Cambria" w:cstheme="minorHAnsi"/>
          <w:sz w:val="28"/>
          <w:szCs w:val="28"/>
        </w:rPr>
        <w:t xml:space="preserve"> </w:t>
      </w:r>
      <w:r w:rsidRPr="00624FC8">
        <w:rPr>
          <w:rFonts w:ascii="Cambria" w:hAnsi="Cambria" w:cstheme="minorHAnsi"/>
          <w:sz w:val="28"/>
          <w:szCs w:val="28"/>
        </w:rPr>
        <w:t>виконані у 2018</w:t>
      </w:r>
      <w:r>
        <w:rPr>
          <w:rFonts w:ascii="Cambria" w:hAnsi="Cambria" w:cstheme="minorHAnsi"/>
          <w:sz w:val="28"/>
          <w:szCs w:val="28"/>
        </w:rPr>
        <w:t xml:space="preserve"> </w:t>
      </w:r>
      <w:r w:rsidRPr="00624FC8">
        <w:rPr>
          <w:rFonts w:ascii="Cambria" w:hAnsi="Cambria" w:cstheme="minorHAnsi"/>
          <w:sz w:val="28"/>
          <w:szCs w:val="28"/>
        </w:rPr>
        <w:t>р. показали, що мінімальні запаси в Україні мають складатися з 25-30% сирої нафти та 70% нафтопродуктів, з яких моторного бензину – 38%, а дизельного палива – 62%. Загальний обсяг необхідного 90-денного середньодобового імпорту розраховано в нафтовому еквіваленті на рівні понад 2 млн. т, з них 1,4 млн. т нафтопродуктів</w:t>
      </w:r>
      <w:r>
        <w:rPr>
          <w:rFonts w:ascii="Cambria" w:hAnsi="Cambria" w:cstheme="minorHAnsi"/>
          <w:sz w:val="28"/>
          <w:szCs w:val="28"/>
        </w:rPr>
        <w:t>.</w:t>
      </w:r>
    </w:p>
    <w:p w14:paraId="060A188D" w14:textId="77777777" w:rsidR="00624FC8" w:rsidRDefault="00624FC8" w:rsidP="00712CC4">
      <w:pPr>
        <w:spacing w:after="0" w:line="240" w:lineRule="auto"/>
        <w:ind w:firstLine="709"/>
        <w:jc w:val="both"/>
        <w:rPr>
          <w:rFonts w:ascii="Cambria" w:hAnsi="Cambria" w:cstheme="minorHAnsi"/>
          <w:sz w:val="28"/>
          <w:szCs w:val="28"/>
        </w:rPr>
      </w:pPr>
    </w:p>
    <w:p w14:paraId="1FA4D852" w14:textId="77777777" w:rsidR="00624FC8" w:rsidRDefault="00624FC8" w:rsidP="00712CC4">
      <w:pPr>
        <w:spacing w:after="0" w:line="240" w:lineRule="auto"/>
        <w:ind w:firstLine="709"/>
        <w:jc w:val="both"/>
        <w:rPr>
          <w:rFonts w:ascii="Cambria" w:hAnsi="Cambria" w:cstheme="minorHAnsi"/>
          <w:sz w:val="28"/>
          <w:szCs w:val="28"/>
        </w:rPr>
      </w:pPr>
      <w:r w:rsidRPr="00624FC8">
        <w:rPr>
          <w:rFonts w:ascii="Cambria" w:hAnsi="Cambria" w:cstheme="minorHAnsi"/>
          <w:b/>
          <w:bCs/>
          <w:i/>
          <w:iCs/>
          <w:sz w:val="28"/>
          <w:szCs w:val="28"/>
        </w:rPr>
        <w:t>Зелений курс ЄС:</w:t>
      </w:r>
      <w:r w:rsidRPr="00624FC8">
        <w:rPr>
          <w:rFonts w:ascii="Cambria" w:hAnsi="Cambria" w:cstheme="minorHAnsi"/>
          <w:sz w:val="28"/>
          <w:szCs w:val="28"/>
        </w:rPr>
        <w:t xml:space="preserve"> енергетика Європейська Комісія ухвалила Зелений пакт (Green Deal), який передбачає комплекс заходів, впровадження яких дозволить ЄС стати кліматично нейтральним до 2050</w:t>
      </w:r>
      <w:r>
        <w:rPr>
          <w:rFonts w:ascii="Cambria" w:hAnsi="Cambria" w:cstheme="minorHAnsi"/>
          <w:sz w:val="28"/>
          <w:szCs w:val="28"/>
        </w:rPr>
        <w:t xml:space="preserve"> </w:t>
      </w:r>
      <w:r w:rsidRPr="00624FC8">
        <w:rPr>
          <w:rFonts w:ascii="Cambria" w:hAnsi="Cambria" w:cstheme="minorHAnsi"/>
          <w:sz w:val="28"/>
          <w:szCs w:val="28"/>
        </w:rPr>
        <w:t xml:space="preserve">р. Для вирішення цього зав дання необхідна декарбонізація усіх галузей і в першу чергу – енергетики, враховуючи, що 75% викидів парникових газів в ЄС генерує саме енергетика. </w:t>
      </w:r>
    </w:p>
    <w:p w14:paraId="44DEFA34" w14:textId="77777777" w:rsidR="00624FC8" w:rsidRDefault="00624FC8" w:rsidP="00712CC4">
      <w:pPr>
        <w:spacing w:after="0" w:line="240" w:lineRule="auto"/>
        <w:ind w:firstLine="709"/>
        <w:jc w:val="both"/>
        <w:rPr>
          <w:rFonts w:ascii="Cambria" w:hAnsi="Cambria" w:cstheme="minorHAnsi"/>
          <w:sz w:val="28"/>
          <w:szCs w:val="28"/>
        </w:rPr>
      </w:pPr>
      <w:r w:rsidRPr="00624FC8">
        <w:rPr>
          <w:rFonts w:ascii="Cambria" w:hAnsi="Cambria" w:cstheme="minorHAnsi"/>
          <w:sz w:val="28"/>
          <w:szCs w:val="28"/>
        </w:rPr>
        <w:t>Декарбонізація енергетики відбуватиметься з використанням наступних інструментів:</w:t>
      </w:r>
    </w:p>
    <w:p w14:paraId="42431FA3" w14:textId="77777777" w:rsidR="00624FC8" w:rsidRDefault="00624FC8" w:rsidP="00624FC8">
      <w:pPr>
        <w:pStyle w:val="a9"/>
        <w:numPr>
          <w:ilvl w:val="0"/>
          <w:numId w:val="6"/>
        </w:numPr>
        <w:spacing w:after="0" w:line="240" w:lineRule="auto"/>
        <w:ind w:left="0" w:firstLine="709"/>
        <w:jc w:val="both"/>
        <w:rPr>
          <w:rFonts w:ascii="Cambria" w:hAnsi="Cambria" w:cstheme="minorHAnsi"/>
          <w:sz w:val="28"/>
          <w:szCs w:val="28"/>
        </w:rPr>
      </w:pPr>
      <w:r w:rsidRPr="00624FC8">
        <w:rPr>
          <w:rFonts w:ascii="Cambria" w:hAnsi="Cambria" w:cstheme="minorHAnsi"/>
          <w:sz w:val="28"/>
          <w:szCs w:val="28"/>
        </w:rPr>
        <w:t>припинення використання вугілля;</w:t>
      </w:r>
    </w:p>
    <w:p w14:paraId="61238CB6" w14:textId="77777777" w:rsidR="00624FC8" w:rsidRDefault="00624FC8" w:rsidP="00624FC8">
      <w:pPr>
        <w:pStyle w:val="a9"/>
        <w:numPr>
          <w:ilvl w:val="0"/>
          <w:numId w:val="6"/>
        </w:numPr>
        <w:spacing w:after="0" w:line="240" w:lineRule="auto"/>
        <w:ind w:left="0" w:firstLine="709"/>
        <w:jc w:val="both"/>
        <w:rPr>
          <w:rFonts w:ascii="Cambria" w:hAnsi="Cambria" w:cstheme="minorHAnsi"/>
          <w:sz w:val="28"/>
          <w:szCs w:val="28"/>
        </w:rPr>
      </w:pPr>
      <w:r w:rsidRPr="00624FC8">
        <w:rPr>
          <w:rFonts w:ascii="Cambria" w:hAnsi="Cambria" w:cstheme="minorHAnsi"/>
          <w:sz w:val="28"/>
          <w:szCs w:val="28"/>
        </w:rPr>
        <w:t>поширення водню та інших декарбонізованих газів;</w:t>
      </w:r>
    </w:p>
    <w:p w14:paraId="58E63001" w14:textId="77777777" w:rsidR="00624FC8" w:rsidRDefault="00624FC8" w:rsidP="00624FC8">
      <w:pPr>
        <w:pStyle w:val="a9"/>
        <w:numPr>
          <w:ilvl w:val="0"/>
          <w:numId w:val="6"/>
        </w:numPr>
        <w:spacing w:after="0" w:line="240" w:lineRule="auto"/>
        <w:ind w:left="0" w:firstLine="709"/>
        <w:jc w:val="both"/>
        <w:rPr>
          <w:rFonts w:ascii="Cambria" w:hAnsi="Cambria" w:cstheme="minorHAnsi"/>
          <w:sz w:val="28"/>
          <w:szCs w:val="28"/>
        </w:rPr>
      </w:pPr>
      <w:r w:rsidRPr="00624FC8">
        <w:rPr>
          <w:rFonts w:ascii="Cambria" w:hAnsi="Cambria" w:cstheme="minorHAnsi"/>
          <w:sz w:val="28"/>
          <w:szCs w:val="28"/>
        </w:rPr>
        <w:t>розвиток морської вітроенергетики;</w:t>
      </w:r>
    </w:p>
    <w:p w14:paraId="174E9263" w14:textId="77777777" w:rsidR="00624FC8" w:rsidRDefault="00624FC8" w:rsidP="00624FC8">
      <w:pPr>
        <w:pStyle w:val="a9"/>
        <w:numPr>
          <w:ilvl w:val="0"/>
          <w:numId w:val="6"/>
        </w:numPr>
        <w:spacing w:after="0" w:line="240" w:lineRule="auto"/>
        <w:ind w:left="0" w:firstLine="709"/>
        <w:jc w:val="both"/>
        <w:rPr>
          <w:rFonts w:ascii="Cambria" w:hAnsi="Cambria" w:cstheme="minorHAnsi"/>
          <w:sz w:val="28"/>
          <w:szCs w:val="28"/>
        </w:rPr>
      </w:pPr>
      <w:r w:rsidRPr="00624FC8">
        <w:rPr>
          <w:rFonts w:ascii="Cambria" w:hAnsi="Cambria" w:cstheme="minorHAnsi"/>
          <w:sz w:val="28"/>
          <w:szCs w:val="28"/>
        </w:rPr>
        <w:t xml:space="preserve">розвиток стаціонарної енергетичної інфраструктури. </w:t>
      </w:r>
    </w:p>
    <w:p w14:paraId="1157BD9D" w14:textId="77777777" w:rsidR="00923167" w:rsidRDefault="00624FC8" w:rsidP="00624FC8">
      <w:pPr>
        <w:spacing w:after="0" w:line="240" w:lineRule="auto"/>
        <w:ind w:firstLine="709"/>
        <w:jc w:val="both"/>
        <w:rPr>
          <w:rFonts w:ascii="Cambria" w:hAnsi="Cambria" w:cstheme="minorHAnsi"/>
          <w:sz w:val="28"/>
          <w:szCs w:val="28"/>
        </w:rPr>
      </w:pPr>
      <w:r w:rsidRPr="00624FC8">
        <w:rPr>
          <w:rFonts w:ascii="Cambria" w:hAnsi="Cambria" w:cstheme="minorHAnsi"/>
          <w:sz w:val="28"/>
          <w:szCs w:val="28"/>
        </w:rPr>
        <w:t xml:space="preserve">Крім цього, інвестиційний план Green Deal не передбачає фінансування розвитку ядерної енергетики, що видається доволі сумнівним рішенням. За прогнозами Міжнародного газового союзу (International Gas Union), світове споживання природного газу може знизитися приблизно на 4% у 2020р. через пандемію COVID-19, наслідком якої є глобальне зменшення споживання енергії. Проте низькі ціни та політика декарбонізації заохочувати муть дії з подальшого переходу на використання як природного газу, так і гідрогену, та відмову від більш шкідливих первинних енергоресурсів – вугілля та нафти. Це стосується генерації електроенергії та різних видів транспорту. Використання скрапленого та стисненого газу в морському, річковому, залізничному транспорті, вантажному автомобільному транспорті – стійка європейська тенденція. </w:t>
      </w:r>
    </w:p>
    <w:p w14:paraId="45D0FF59" w14:textId="77777777" w:rsidR="00923167" w:rsidRDefault="00624FC8" w:rsidP="00624FC8">
      <w:pPr>
        <w:spacing w:after="0" w:line="240" w:lineRule="auto"/>
        <w:ind w:firstLine="709"/>
        <w:jc w:val="both"/>
        <w:rPr>
          <w:rFonts w:ascii="Cambria" w:hAnsi="Cambria" w:cstheme="minorHAnsi"/>
          <w:sz w:val="28"/>
          <w:szCs w:val="28"/>
        </w:rPr>
      </w:pPr>
      <w:r w:rsidRPr="00624FC8">
        <w:rPr>
          <w:rFonts w:ascii="Cambria" w:hAnsi="Cambria" w:cstheme="minorHAnsi"/>
          <w:sz w:val="28"/>
          <w:szCs w:val="28"/>
        </w:rPr>
        <w:t>Також це стосується і промисловості. На період переходу, природний газ має стати стратегічним доповненням до відновлювальних джерел енергії. Адже вже існує розвинута інфраструктура зберігання і транспорту вання газу, а газ є набагато більш екологічним, ніж інші викопні енергоносії. Отже в середньостроковій перспективі передбачаються значні темпи розвитку газової інфраструктури – транспортування і зберігання газу, а також інфраструктури LNG. Уже шостий рік поспіль фіксується зростання обсягів торгівлі LNG. У 2019</w:t>
      </w:r>
      <w:r w:rsidR="00923167">
        <w:rPr>
          <w:rFonts w:ascii="Cambria" w:hAnsi="Cambria" w:cstheme="minorHAnsi"/>
          <w:sz w:val="28"/>
          <w:szCs w:val="28"/>
        </w:rPr>
        <w:t xml:space="preserve"> </w:t>
      </w:r>
      <w:r w:rsidRPr="00624FC8">
        <w:rPr>
          <w:rFonts w:ascii="Cambria" w:hAnsi="Cambria" w:cstheme="minorHAnsi"/>
          <w:sz w:val="28"/>
          <w:szCs w:val="28"/>
        </w:rPr>
        <w:t>р. вони зросли на 13%, порівняно з 2018р. – до 354,7 млн. т, або 482 млрд. м</w:t>
      </w:r>
      <w:r w:rsidRPr="00923167">
        <w:rPr>
          <w:rFonts w:ascii="Cambria" w:hAnsi="Cambria" w:cstheme="minorHAnsi"/>
          <w:sz w:val="28"/>
          <w:szCs w:val="28"/>
          <w:vertAlign w:val="superscript"/>
        </w:rPr>
        <w:t>3</w:t>
      </w:r>
      <w:r w:rsidRPr="00624FC8">
        <w:rPr>
          <w:rFonts w:ascii="Cambria" w:hAnsi="Cambria" w:cstheme="minorHAnsi"/>
          <w:sz w:val="28"/>
          <w:szCs w:val="28"/>
        </w:rPr>
        <w:t>. Причому скраплений газ стає головним чинником зростання споживання, яке може швидко відновитися, залежно від тривалості пандемії. Стратегія низьковуглецевого розвитку України до 2050</w:t>
      </w:r>
      <w:r w:rsidR="00923167">
        <w:rPr>
          <w:rFonts w:ascii="Cambria" w:hAnsi="Cambria" w:cstheme="minorHAnsi"/>
          <w:sz w:val="28"/>
          <w:szCs w:val="28"/>
        </w:rPr>
        <w:t xml:space="preserve"> </w:t>
      </w:r>
      <w:r w:rsidRPr="00624FC8">
        <w:rPr>
          <w:rFonts w:ascii="Cambria" w:hAnsi="Cambria" w:cstheme="minorHAnsi"/>
          <w:sz w:val="28"/>
          <w:szCs w:val="28"/>
        </w:rPr>
        <w:t>р. (Стратегія НВР) визначає, за оптимістичним сценарієм, що у 2050</w:t>
      </w:r>
      <w:r w:rsidR="00923167">
        <w:rPr>
          <w:rFonts w:ascii="Cambria" w:hAnsi="Cambria" w:cstheme="minorHAnsi"/>
          <w:sz w:val="28"/>
          <w:szCs w:val="28"/>
        </w:rPr>
        <w:t xml:space="preserve"> </w:t>
      </w:r>
      <w:r w:rsidRPr="00624FC8">
        <w:rPr>
          <w:rFonts w:ascii="Cambria" w:hAnsi="Cambria" w:cstheme="minorHAnsi"/>
          <w:sz w:val="28"/>
          <w:szCs w:val="28"/>
        </w:rPr>
        <w:t xml:space="preserve">р. </w:t>
      </w:r>
      <w:r w:rsidRPr="00624FC8">
        <w:rPr>
          <w:rFonts w:ascii="Cambria" w:hAnsi="Cambria" w:cstheme="minorHAnsi"/>
          <w:sz w:val="28"/>
          <w:szCs w:val="28"/>
        </w:rPr>
        <w:lastRenderedPageBreak/>
        <w:t>викиди парникових газів становитимуть 31% рівня 1990р., або 260-285 млн. т СО</w:t>
      </w:r>
      <w:r w:rsidRPr="00923167">
        <w:rPr>
          <w:rFonts w:ascii="Cambria" w:hAnsi="Cambria" w:cstheme="minorHAnsi"/>
          <w:sz w:val="28"/>
          <w:szCs w:val="28"/>
          <w:vertAlign w:val="subscript"/>
        </w:rPr>
        <w:t>2</w:t>
      </w:r>
      <w:r w:rsidRPr="00624FC8">
        <w:rPr>
          <w:rFonts w:ascii="Cambria" w:hAnsi="Cambria" w:cstheme="minorHAnsi"/>
          <w:sz w:val="28"/>
          <w:szCs w:val="28"/>
        </w:rPr>
        <w:t xml:space="preserve">-екв., за умови запровадження політик і заходів з декарбонізації економіки. Ставиться завдання пере ходу до енергосистеми, яка передбачає використання джерел енергії з низьким вмістом вуглецю, розбудову джерел чистої електричної та теплової енергії, підвищення енергоефективності та енергозбереження в усіх секторах економіки та на об’єктах житлово комунальної інфраструктури, стимулювання використання альтернативної енергії. </w:t>
      </w:r>
    </w:p>
    <w:p w14:paraId="1521459E" w14:textId="2AFDE76F" w:rsidR="00624FC8" w:rsidRDefault="00624FC8" w:rsidP="00624FC8">
      <w:pPr>
        <w:spacing w:after="0" w:line="240" w:lineRule="auto"/>
        <w:ind w:firstLine="709"/>
        <w:jc w:val="both"/>
        <w:rPr>
          <w:rFonts w:ascii="Cambria" w:hAnsi="Cambria" w:cstheme="minorHAnsi"/>
          <w:sz w:val="28"/>
          <w:szCs w:val="28"/>
        </w:rPr>
      </w:pPr>
      <w:r w:rsidRPr="00624FC8">
        <w:rPr>
          <w:rFonts w:ascii="Cambria" w:hAnsi="Cambria" w:cstheme="minorHAnsi"/>
          <w:sz w:val="28"/>
          <w:szCs w:val="28"/>
        </w:rPr>
        <w:t>В ЄС до 2050</w:t>
      </w:r>
      <w:r w:rsidR="00923167">
        <w:rPr>
          <w:rFonts w:ascii="Cambria" w:hAnsi="Cambria" w:cstheme="minorHAnsi"/>
          <w:sz w:val="28"/>
          <w:szCs w:val="28"/>
        </w:rPr>
        <w:t xml:space="preserve"> </w:t>
      </w:r>
      <w:r w:rsidRPr="00624FC8">
        <w:rPr>
          <w:rFonts w:ascii="Cambria" w:hAnsi="Cambria" w:cstheme="minorHAnsi"/>
          <w:sz w:val="28"/>
          <w:szCs w:val="28"/>
        </w:rPr>
        <w:t>р. планується зовсім припинити викиди. Стратегія низьковуглецевого розвитку України до 2050р.24 розроблена на виконання між народних зобов’язань України згідно з п.19 ст.4 Паризької угоди, п.35 Рішення 1/СР. Конференції Сторін Рамкової конвенції ООН про зміну клімату. Стратегія визначає узгоджене зацікавленими сторонами національне бачення щодо відокремлення подальшого економічного зростання та соціального розвитку держави від збільшення обсягу викидів парникових газів. Згідно з Протокольним рішенням від 18 липня 2018</w:t>
      </w:r>
      <w:r w:rsidR="00923167">
        <w:rPr>
          <w:rFonts w:ascii="Cambria" w:hAnsi="Cambria" w:cstheme="minorHAnsi"/>
          <w:sz w:val="28"/>
          <w:szCs w:val="28"/>
        </w:rPr>
        <w:t xml:space="preserve"> </w:t>
      </w:r>
      <w:r w:rsidRPr="00624FC8">
        <w:rPr>
          <w:rFonts w:ascii="Cambria" w:hAnsi="Cambria" w:cstheme="minorHAnsi"/>
          <w:sz w:val="28"/>
          <w:szCs w:val="28"/>
        </w:rPr>
        <w:t>р. засідання Кабінету Міністрів</w:t>
      </w:r>
      <w:r w:rsidR="00923167">
        <w:rPr>
          <w:rFonts w:ascii="Cambria" w:hAnsi="Cambria" w:cstheme="minorHAnsi"/>
          <w:sz w:val="28"/>
          <w:szCs w:val="28"/>
        </w:rPr>
        <w:t xml:space="preserve"> </w:t>
      </w:r>
      <w:r w:rsidR="00923167" w:rsidRPr="00923167">
        <w:rPr>
          <w:rFonts w:ascii="Cambria" w:hAnsi="Cambria" w:cstheme="minorHAnsi"/>
          <w:sz w:val="28"/>
          <w:szCs w:val="28"/>
        </w:rPr>
        <w:t>України Стратегія НВР надіслана до Секретаріату Рамкової конвенції ООН про зміну клімату</w:t>
      </w:r>
      <w:r w:rsidR="00923167">
        <w:rPr>
          <w:rFonts w:ascii="Cambria" w:hAnsi="Cambria" w:cstheme="minorHAnsi"/>
          <w:sz w:val="28"/>
          <w:szCs w:val="28"/>
        </w:rPr>
        <w:t>.</w:t>
      </w:r>
    </w:p>
    <w:p w14:paraId="7407EE39" w14:textId="77777777" w:rsidR="00923167" w:rsidRDefault="00923167" w:rsidP="00624FC8">
      <w:pPr>
        <w:spacing w:after="0" w:line="240" w:lineRule="auto"/>
        <w:ind w:firstLine="709"/>
        <w:jc w:val="both"/>
        <w:rPr>
          <w:rFonts w:ascii="Cambria" w:hAnsi="Cambria" w:cstheme="minorHAnsi"/>
          <w:sz w:val="28"/>
          <w:szCs w:val="28"/>
        </w:rPr>
      </w:pPr>
      <w:r w:rsidRPr="00923167">
        <w:rPr>
          <w:rFonts w:ascii="Cambria" w:hAnsi="Cambria" w:cstheme="minorHAnsi"/>
          <w:sz w:val="28"/>
          <w:szCs w:val="28"/>
        </w:rPr>
        <w:t xml:space="preserve">Україна має стати частиною зусиль ЄС у впровадженні Зеленого курсу. Варто досягати об’єднання енергетичної політики України та ЄС, що також може посилити ефективність використання енергії та використання енергетичної і газової інфраструктури. Подальша інтеграція та регіональна співпраця продовжують бути пріоритетними завданнями у сфері енергетики і в контексті втілення Зеленого курсу. </w:t>
      </w:r>
    </w:p>
    <w:p w14:paraId="7DC959A9" w14:textId="77777777" w:rsidR="00923167" w:rsidRDefault="00923167" w:rsidP="00624FC8">
      <w:pPr>
        <w:spacing w:after="0" w:line="240" w:lineRule="auto"/>
        <w:ind w:firstLine="709"/>
        <w:jc w:val="both"/>
        <w:rPr>
          <w:rFonts w:ascii="Cambria" w:hAnsi="Cambria" w:cstheme="minorHAnsi"/>
          <w:sz w:val="28"/>
          <w:szCs w:val="28"/>
        </w:rPr>
      </w:pPr>
      <w:r w:rsidRPr="00923167">
        <w:rPr>
          <w:rFonts w:ascii="Cambria" w:hAnsi="Cambria" w:cstheme="minorHAnsi"/>
          <w:sz w:val="28"/>
          <w:szCs w:val="28"/>
        </w:rPr>
        <w:t xml:space="preserve">Отже, для України важливо продовжувати реформування енергетичного сектору в рамках взятих на себе зобов’язань і бути разом з ЄС у його розвитку. Один з ключових елементів Зеленого курсу – виробництво гідрогену з метою максимального його використання в енергетиці замість викопних видів палива. Проекти виробництва гідрогену з використанням ВДЕ опрацьовують у різних країнах ЄС та його близьких і далеких країнах-сусідах. Звісно, не потрібно мати ілюзій щодо легкого втілення таких проектів, як і безпроблемності масового використання гідрогену – найлегшого та найбільш пожежо- та вибухонебезпечного газу. </w:t>
      </w:r>
    </w:p>
    <w:p w14:paraId="613C3D44" w14:textId="1EEB45EF" w:rsidR="00923167" w:rsidRDefault="00923167" w:rsidP="00624FC8">
      <w:pPr>
        <w:spacing w:after="0" w:line="240" w:lineRule="auto"/>
        <w:ind w:firstLine="709"/>
        <w:jc w:val="both"/>
        <w:rPr>
          <w:rFonts w:ascii="Cambria" w:hAnsi="Cambria" w:cstheme="minorHAnsi"/>
          <w:sz w:val="28"/>
          <w:szCs w:val="28"/>
        </w:rPr>
      </w:pPr>
      <w:r w:rsidRPr="00923167">
        <w:rPr>
          <w:rFonts w:ascii="Cambria" w:hAnsi="Cambria" w:cstheme="minorHAnsi"/>
          <w:sz w:val="28"/>
          <w:szCs w:val="28"/>
        </w:rPr>
        <w:t>Тим не менше, Україна, маючи профіцит генеруючих потужностей, має можливість реалізовувати проекти виробництва гідрогену та постачання його в ЄС з використанням профіцитних потужностей газотранспортної системи. У цьому контексті наміри НАЕК “Енергоатом” та НАК “Нафтогаз України” співпрацювати над проблематикою виробництва, транспортування та використання гідрогену є цілком прагматичними та розрахованими на довгострокову перспективу. Меморандуми, підписані НАЕК “Енергоатом”, НАК “Нафтогаз України” та Федерацією роботодавців нафтогазової галузі 24 вересня 2020</w:t>
      </w:r>
      <w:r>
        <w:rPr>
          <w:rFonts w:ascii="Cambria" w:hAnsi="Cambria" w:cstheme="minorHAnsi"/>
          <w:sz w:val="28"/>
          <w:szCs w:val="28"/>
        </w:rPr>
        <w:t xml:space="preserve"> </w:t>
      </w:r>
      <w:r w:rsidRPr="00923167">
        <w:rPr>
          <w:rFonts w:ascii="Cambria" w:hAnsi="Cambria" w:cstheme="minorHAnsi"/>
          <w:sz w:val="28"/>
          <w:szCs w:val="28"/>
        </w:rPr>
        <w:t xml:space="preserve">р. цілком гармонізуються як з національними інтересами України, так і з Зеленим курсом ЄС. Уже зараз Україна має переваги від імплементації енергетичного законодавства ЄС. Зокрема імпорт газу відбувається стабільно на прозорих ринкових умовах. Нові відносини України з російським монополістом є зрозумілими, </w:t>
      </w:r>
      <w:r w:rsidRPr="00923167">
        <w:rPr>
          <w:rFonts w:ascii="Cambria" w:hAnsi="Cambria" w:cstheme="minorHAnsi"/>
          <w:sz w:val="28"/>
          <w:szCs w:val="28"/>
        </w:rPr>
        <w:lastRenderedPageBreak/>
        <w:t>відповідають законодавству України та ЄС і головне – не вимагають політичних поступок чи пожертви суверенітетом. Процес оновлення Угоди про асоціацію має бути використано для поглиблення інтеграції в секторі газу та електроенергії з метою повно правної участі в ринках ЄС. Україна повинна стати частиною зусиль ЄС у впровадженні Зеленого курсу. Природний газ, гідроген відіграватимуть важливу роль в енергетичному переході. Отже енергетична інфраструктура (газова та електроенергії) і України, і ЄС в цілому відіграватиме важливу роль на сході Європи.</w:t>
      </w:r>
    </w:p>
    <w:p w14:paraId="238A362E" w14:textId="77777777" w:rsidR="00923167" w:rsidRDefault="00923167" w:rsidP="00624FC8">
      <w:pPr>
        <w:spacing w:after="0" w:line="240" w:lineRule="auto"/>
        <w:ind w:firstLine="709"/>
        <w:jc w:val="both"/>
        <w:rPr>
          <w:rFonts w:ascii="Cambria" w:hAnsi="Cambria" w:cstheme="minorHAnsi"/>
          <w:sz w:val="28"/>
          <w:szCs w:val="28"/>
        </w:rPr>
      </w:pPr>
    </w:p>
    <w:p w14:paraId="18B0F83F" w14:textId="092598A0" w:rsidR="00923167" w:rsidRDefault="00923167" w:rsidP="00624FC8">
      <w:pPr>
        <w:spacing w:after="0" w:line="240" w:lineRule="auto"/>
        <w:ind w:firstLine="709"/>
        <w:jc w:val="both"/>
        <w:rPr>
          <w:rFonts w:ascii="Cambria" w:hAnsi="Cambria" w:cstheme="minorHAnsi"/>
          <w:b/>
          <w:bCs/>
          <w:sz w:val="28"/>
          <w:szCs w:val="28"/>
        </w:rPr>
      </w:pPr>
      <w:r w:rsidRPr="00923167">
        <w:rPr>
          <w:rFonts w:ascii="Cambria" w:hAnsi="Cambria" w:cstheme="minorHAnsi"/>
          <w:b/>
          <w:bCs/>
          <w:sz w:val="28"/>
          <w:szCs w:val="28"/>
        </w:rPr>
        <w:t>ПИТАННЯ 2.</w:t>
      </w:r>
    </w:p>
    <w:p w14:paraId="6C1FA90C" w14:textId="77777777" w:rsidR="00923167" w:rsidRDefault="00923167" w:rsidP="00624FC8">
      <w:pPr>
        <w:spacing w:after="0" w:line="240" w:lineRule="auto"/>
        <w:ind w:firstLine="709"/>
        <w:jc w:val="both"/>
        <w:rPr>
          <w:rFonts w:ascii="Cambria" w:hAnsi="Cambria" w:cstheme="minorHAnsi"/>
          <w:sz w:val="28"/>
          <w:szCs w:val="28"/>
        </w:rPr>
      </w:pPr>
      <w:r w:rsidRPr="00923167">
        <w:rPr>
          <w:rFonts w:ascii="Cambria" w:hAnsi="Cambria" w:cstheme="minorHAnsi"/>
          <w:sz w:val="28"/>
          <w:szCs w:val="28"/>
        </w:rPr>
        <w:t xml:space="preserve">Розвиток цифрової економіки перетворився на одну з найбільш важливих тенденцій світової економіки, зумовленої Четвертою промисловою революцією. Цей складний і неоднозначний процес, пов’язаний як з безпрецедентно великими можливостями, так і з суттєвими ризиками, істотно впливатиме на загальну економічну динаміку та структурні зрушення у різних сферах світового господарства. А отже, він має стати ключовим пріоритетом взаємодії України з ЄС. Нині ці питання визначені в Розділі IV Угоди “Торгівля і питання, пов’язані з торгівлею”, зокрема у Главі 6 “Заснування підприємницької діяльності, торгівля послугами та електронна торгівля” (особливо ст.108 “Домовленості про комп’ютерні послуги”, статті 115-124 щодо електронних комунікаційних послуг, статті 139-140 щодо електронної торгівлі, статті 185-189 щодо охорони баз даних). А також у Главі 14 “Інформаційне суспільство” (статті 389-395), особливо ст.391, яка визначає сферу такої взаємодії, що поширюється на наступні питання. </w:t>
      </w:r>
    </w:p>
    <w:p w14:paraId="448F0D71" w14:textId="77777777" w:rsidR="00923167" w:rsidRDefault="00923167" w:rsidP="00624FC8">
      <w:pPr>
        <w:spacing w:after="0" w:line="240" w:lineRule="auto"/>
        <w:ind w:firstLine="709"/>
        <w:jc w:val="both"/>
        <w:rPr>
          <w:rFonts w:ascii="Cambria" w:hAnsi="Cambria" w:cstheme="minorHAnsi"/>
          <w:sz w:val="28"/>
          <w:szCs w:val="28"/>
        </w:rPr>
      </w:pPr>
      <w:r w:rsidRPr="00923167">
        <w:rPr>
          <w:rFonts w:ascii="Cambria" w:hAnsi="Cambria" w:cstheme="minorHAnsi"/>
          <w:b/>
          <w:bCs/>
          <w:i/>
          <w:iCs/>
          <w:sz w:val="28"/>
          <w:szCs w:val="28"/>
        </w:rPr>
        <w:t>Перше</w:t>
      </w:r>
      <w:r w:rsidRPr="00923167">
        <w:rPr>
          <w:rFonts w:ascii="Cambria" w:hAnsi="Cambria" w:cstheme="minorHAnsi"/>
          <w:sz w:val="28"/>
          <w:szCs w:val="28"/>
        </w:rPr>
        <w:t xml:space="preserve">. Сприяння широкосмуговому доступу, поліпшення безпеки мереж та широкому використанню ІКТ приватними особами, бізнесом та адміністративними органами шляхом розвитку локальних ресурсів Інтернет і впровадження онлайн-послуг, зокрема електронного бізнесу, електронного уряду, електронної охорони здоров’я та електронного навчання. Друге. Координація політик у галузі електронних комунікацій з метою оптимального використання радіоспектра та забезпечення функціональної сумісності мереж України та ЄС. Зокрема, доповненням XVII-3 у складі Додатка XVII до Угоди були визначені конкретні зобов’язання щодо наближення (упродовж 2-4 років з моменту набуття чинності Угоди) українського законодавства до права ЄС у сфері телекомунікаційних послуг (вісім директив та ін. нормативно-правових актів ЄС). Водночас у тексті Угоди немає терміну “цифрова економіка” – що не є дивним, зважаючи на те, що в період розробки тексту Угоди такої постановки питання ще не існувало. </w:t>
      </w:r>
    </w:p>
    <w:p w14:paraId="2FDAC6D0" w14:textId="77777777" w:rsidR="00923167" w:rsidRDefault="00923167" w:rsidP="00624FC8">
      <w:pPr>
        <w:spacing w:after="0" w:line="240" w:lineRule="auto"/>
        <w:ind w:firstLine="709"/>
        <w:jc w:val="both"/>
        <w:rPr>
          <w:rFonts w:ascii="Cambria" w:hAnsi="Cambria" w:cstheme="minorHAnsi"/>
          <w:sz w:val="28"/>
          <w:szCs w:val="28"/>
        </w:rPr>
      </w:pPr>
      <w:r w:rsidRPr="00923167">
        <w:rPr>
          <w:rFonts w:ascii="Cambria" w:hAnsi="Cambria" w:cstheme="minorHAnsi"/>
          <w:sz w:val="28"/>
          <w:szCs w:val="28"/>
        </w:rPr>
        <w:t>Таким чином, у питанні цифрового роз витку текст Угоди є застарілим і потребує</w:t>
      </w:r>
      <w:r>
        <w:rPr>
          <w:rFonts w:ascii="Cambria" w:hAnsi="Cambria" w:cstheme="minorHAnsi"/>
          <w:sz w:val="28"/>
          <w:szCs w:val="28"/>
        </w:rPr>
        <w:t xml:space="preserve"> </w:t>
      </w:r>
      <w:r w:rsidRPr="00923167">
        <w:rPr>
          <w:rFonts w:ascii="Cambria" w:hAnsi="Cambria" w:cstheme="minorHAnsi"/>
          <w:sz w:val="28"/>
          <w:szCs w:val="28"/>
        </w:rPr>
        <w:t>істотної модернізації. Головним пріоритетом взаємодії у цій сфері має стати створення механізмів для включення України до процесів, які відбуваються у рамках формування єдиного цифрового ринку (ЄЦР) Європейського Союзу, який інтенсивно розвивається з 2015</w:t>
      </w:r>
      <w:r>
        <w:rPr>
          <w:rFonts w:ascii="Cambria" w:hAnsi="Cambria" w:cstheme="minorHAnsi"/>
          <w:sz w:val="28"/>
          <w:szCs w:val="28"/>
        </w:rPr>
        <w:t xml:space="preserve"> </w:t>
      </w:r>
      <w:r w:rsidRPr="00923167">
        <w:rPr>
          <w:rFonts w:ascii="Cambria" w:hAnsi="Cambria" w:cstheme="minorHAnsi"/>
          <w:sz w:val="28"/>
          <w:szCs w:val="28"/>
        </w:rPr>
        <w:t xml:space="preserve">р., коли </w:t>
      </w:r>
      <w:r w:rsidRPr="00923167">
        <w:rPr>
          <w:rFonts w:ascii="Cambria" w:hAnsi="Cambria" w:cstheme="minorHAnsi"/>
          <w:sz w:val="28"/>
          <w:szCs w:val="28"/>
        </w:rPr>
        <w:lastRenderedPageBreak/>
        <w:t xml:space="preserve">Європейською Комісією було запропоновано “Стратегію цифрового єдиного ринку для Європи”. </w:t>
      </w:r>
    </w:p>
    <w:p w14:paraId="505BEFAA" w14:textId="77777777" w:rsidR="00923167" w:rsidRDefault="00923167" w:rsidP="00624FC8">
      <w:pPr>
        <w:spacing w:after="0" w:line="240" w:lineRule="auto"/>
        <w:ind w:firstLine="709"/>
        <w:jc w:val="both"/>
        <w:rPr>
          <w:rFonts w:ascii="Cambria" w:hAnsi="Cambria" w:cstheme="minorHAnsi"/>
          <w:sz w:val="28"/>
          <w:szCs w:val="28"/>
        </w:rPr>
      </w:pPr>
      <w:r w:rsidRPr="00923167">
        <w:rPr>
          <w:rFonts w:ascii="Cambria" w:hAnsi="Cambria" w:cstheme="minorHAnsi"/>
          <w:sz w:val="28"/>
          <w:szCs w:val="28"/>
        </w:rPr>
        <w:t xml:space="preserve">Йдеться про можливість активної участі України в заходах, які реалізуються за трьома ключовими напрямами цієї стратегії: </w:t>
      </w:r>
    </w:p>
    <w:p w14:paraId="2C810807" w14:textId="77777777" w:rsidR="00923167" w:rsidRDefault="00923167" w:rsidP="00624FC8">
      <w:pPr>
        <w:spacing w:after="0" w:line="240" w:lineRule="auto"/>
        <w:ind w:firstLine="709"/>
        <w:jc w:val="both"/>
        <w:rPr>
          <w:rFonts w:ascii="Cambria" w:hAnsi="Cambria" w:cstheme="minorHAnsi"/>
          <w:sz w:val="28"/>
          <w:szCs w:val="28"/>
        </w:rPr>
      </w:pPr>
      <w:r w:rsidRPr="00923167">
        <w:rPr>
          <w:rFonts w:ascii="Cambria" w:hAnsi="Cambria" w:cstheme="minorHAnsi"/>
          <w:sz w:val="28"/>
          <w:szCs w:val="28"/>
        </w:rPr>
        <w:t xml:space="preserve">1. </w:t>
      </w:r>
      <w:r w:rsidRPr="00923167">
        <w:rPr>
          <w:rFonts w:ascii="Cambria" w:hAnsi="Cambria" w:cstheme="minorHAnsi"/>
          <w:i/>
          <w:iCs/>
          <w:sz w:val="28"/>
          <w:szCs w:val="28"/>
        </w:rPr>
        <w:t>Побудова економіки, що здійснюється на основі Європейських ініціатив</w:t>
      </w:r>
      <w:r w:rsidRPr="00923167">
        <w:rPr>
          <w:rFonts w:ascii="Cambria" w:hAnsi="Cambria" w:cstheme="minorHAnsi"/>
          <w:sz w:val="28"/>
          <w:szCs w:val="28"/>
        </w:rPr>
        <w:t xml:space="preserve">: “Вільний потік даних”, “Європейська хмара” (European Cloud), яка охоплює і дослідницький “хмарний сервіс” для підтримки “відкритої науки” (open science), і впровадження технологій Інтернету речей. У більш загальному кон тексті йдеться про участь у розвитку “європейської економіки даних” (European Data Economy), в рамках якої ставиться мета забезпечити постійну доступність та вільне переміщення даних за наявності високо- продуктивної здатності аналізувати ці дані. </w:t>
      </w:r>
    </w:p>
    <w:p w14:paraId="27D481B2" w14:textId="77777777" w:rsidR="00923167" w:rsidRDefault="00923167" w:rsidP="00624FC8">
      <w:pPr>
        <w:spacing w:after="0" w:line="240" w:lineRule="auto"/>
        <w:ind w:firstLine="709"/>
        <w:jc w:val="both"/>
        <w:rPr>
          <w:rFonts w:ascii="Cambria" w:hAnsi="Cambria" w:cstheme="minorHAnsi"/>
          <w:sz w:val="28"/>
          <w:szCs w:val="28"/>
        </w:rPr>
      </w:pPr>
      <w:r w:rsidRPr="00923167">
        <w:rPr>
          <w:rFonts w:ascii="Cambria" w:hAnsi="Cambria" w:cstheme="minorHAnsi"/>
          <w:sz w:val="28"/>
          <w:szCs w:val="28"/>
        </w:rPr>
        <w:t xml:space="preserve">2. </w:t>
      </w:r>
      <w:r w:rsidRPr="00923167">
        <w:rPr>
          <w:rFonts w:ascii="Cambria" w:hAnsi="Cambria" w:cstheme="minorHAnsi"/>
          <w:i/>
          <w:iCs/>
          <w:sz w:val="28"/>
          <w:szCs w:val="28"/>
        </w:rPr>
        <w:t>Нарощування конкурентоспроможності</w:t>
      </w:r>
      <w:r w:rsidRPr="00923167">
        <w:rPr>
          <w:rFonts w:ascii="Cambria" w:hAnsi="Cambria" w:cstheme="minorHAnsi"/>
          <w:sz w:val="28"/>
          <w:szCs w:val="28"/>
        </w:rPr>
        <w:t xml:space="preserve"> через забезпечення інтероперабельності та стандартизацію, включно із забезпеченням взаємопов’язаності та сумісності послуг електронного урядування в різних країнах на основі “Європейської системи сумісності”. </w:t>
      </w:r>
    </w:p>
    <w:p w14:paraId="3F266A89" w14:textId="3F6C1D75" w:rsidR="00923167" w:rsidRDefault="00923167" w:rsidP="00624FC8">
      <w:pPr>
        <w:spacing w:after="0" w:line="240" w:lineRule="auto"/>
        <w:ind w:firstLine="709"/>
        <w:jc w:val="both"/>
        <w:rPr>
          <w:rFonts w:ascii="Cambria" w:hAnsi="Cambria" w:cstheme="minorHAnsi"/>
          <w:sz w:val="28"/>
          <w:szCs w:val="28"/>
        </w:rPr>
      </w:pPr>
      <w:r w:rsidRPr="00923167">
        <w:rPr>
          <w:rFonts w:ascii="Cambria" w:hAnsi="Cambria" w:cstheme="minorHAnsi"/>
          <w:sz w:val="28"/>
          <w:szCs w:val="28"/>
        </w:rPr>
        <w:t>3. Розвиток інклюзивного е-суспільства: формування умов, які дозволять усім громадянам і підприємствам мати необхідні знання та навички для отримання вигід з функціонування взаємопов’язаних та багатомовних електронних послуг та електронних систем урядування, правосуддя, охорони здоров’я, енергетики і транспорту, в т.ч. через реалізацію великих ініціатив: “Велика коаліція для цифрових робочих місць” (Grand Coalition for digital jobs), “Відкриття освіти” (Opening up Education) та ін. Необхідно також отримання Україною ширшого доступу до інвестиційних ресурсів, призначених для сфери цифровізації, включаючи, крім ресурсів ЄБРР та ЄІБ, також доступ до коштів Європейського фонду стратегічних інвестицій (European Fund for Strategic Investment). Важливим пріоритетом у процесі доступу до ЄЦР має стати участь українських організацій у формуванні та розвитку онлайн-платформ, які в ширшому розумінні створюють передумови для організації т.зв. Інтернет-екосистем (internet ecosystem).</w:t>
      </w:r>
    </w:p>
    <w:p w14:paraId="0BB9DEE1" w14:textId="77777777" w:rsidR="00923167" w:rsidRDefault="00923167" w:rsidP="00624FC8">
      <w:pPr>
        <w:spacing w:after="0" w:line="240" w:lineRule="auto"/>
        <w:ind w:firstLine="709"/>
        <w:jc w:val="both"/>
        <w:rPr>
          <w:rFonts w:ascii="Cambria" w:hAnsi="Cambria" w:cstheme="minorHAnsi"/>
          <w:sz w:val="28"/>
          <w:szCs w:val="28"/>
        </w:rPr>
      </w:pPr>
      <w:r w:rsidRPr="00923167">
        <w:rPr>
          <w:rFonts w:ascii="Cambria" w:hAnsi="Cambria" w:cstheme="minorHAnsi"/>
          <w:sz w:val="28"/>
          <w:szCs w:val="28"/>
        </w:rPr>
        <w:t>Одним із специфічних, але критично важливих завдань взаємодії у цифровій сфері має стати спільна протидія зростаючим викликам у сфері кібербезпеки відповідно до базових стратегічних і нормативно правових документів ЄС у цій сфері – Стратегії кібербезпеки 2013</w:t>
      </w:r>
      <w:r>
        <w:rPr>
          <w:rFonts w:ascii="Cambria" w:hAnsi="Cambria" w:cstheme="minorHAnsi"/>
          <w:sz w:val="28"/>
          <w:szCs w:val="28"/>
        </w:rPr>
        <w:t xml:space="preserve"> </w:t>
      </w:r>
      <w:r w:rsidRPr="00923167">
        <w:rPr>
          <w:rFonts w:ascii="Cambria" w:hAnsi="Cambria" w:cstheme="minorHAnsi"/>
          <w:sz w:val="28"/>
          <w:szCs w:val="28"/>
        </w:rPr>
        <w:t>р. (EU Cybersecurity Strategy), Директиви щодо безпеки мереж та інформаційних систем (Directive on Security of Network and Information Systems – NIS Directive, або Directive (EU) 2016/1148), пакета програм з кібербезпеки від 2017р.</w:t>
      </w:r>
    </w:p>
    <w:p w14:paraId="56FC84D8" w14:textId="77777777" w:rsidR="00923167" w:rsidRDefault="00923167" w:rsidP="00624FC8">
      <w:pPr>
        <w:spacing w:after="0" w:line="240" w:lineRule="auto"/>
        <w:ind w:firstLine="709"/>
        <w:jc w:val="both"/>
        <w:rPr>
          <w:rFonts w:ascii="Cambria" w:hAnsi="Cambria" w:cstheme="minorHAnsi"/>
          <w:sz w:val="28"/>
          <w:szCs w:val="28"/>
        </w:rPr>
      </w:pPr>
      <w:r w:rsidRPr="00923167">
        <w:rPr>
          <w:rFonts w:ascii="Cambria" w:hAnsi="Cambria" w:cstheme="minorHAnsi"/>
          <w:sz w:val="28"/>
          <w:szCs w:val="28"/>
        </w:rPr>
        <w:t xml:space="preserve">У цьому контексті важливим завданням є налагодження співпраці уповноважених органів України у сфері кібербезпеки з Агенцією Європейського Союзу з питань мережевої та інформаційної безпеки (The European Union Agency for Network and Information Security – ENISA), у т.ч. в питаннях системи сертифікації продуктів, послуг і процесів кібербезпеки, впровадження принципу “обов’язкового догляду”, спрямованого на зменшення вразливості продуктів і програмного забезпечення, плану дій у випадку масштабного транскордонного кіберінциденту або кризи та ін. </w:t>
      </w:r>
    </w:p>
    <w:p w14:paraId="5D057748" w14:textId="77777777" w:rsidR="00923167" w:rsidRDefault="00923167" w:rsidP="00624FC8">
      <w:pPr>
        <w:spacing w:after="0" w:line="240" w:lineRule="auto"/>
        <w:ind w:firstLine="709"/>
        <w:jc w:val="both"/>
        <w:rPr>
          <w:rFonts w:ascii="Cambria" w:hAnsi="Cambria" w:cstheme="minorHAnsi"/>
          <w:sz w:val="28"/>
          <w:szCs w:val="28"/>
        </w:rPr>
      </w:pPr>
      <w:r w:rsidRPr="00923167">
        <w:rPr>
          <w:rFonts w:ascii="Cambria" w:hAnsi="Cambria" w:cstheme="minorHAnsi"/>
          <w:sz w:val="28"/>
          <w:szCs w:val="28"/>
        </w:rPr>
        <w:lastRenderedPageBreak/>
        <w:t xml:space="preserve">Важливим завданням взаємодії з ЄС у сфері цифрової економіки є активне сприяння розвитку стартапів і цифровізації промисловості та секторів послуг на основі комплексної стратегії цифровізації європейської промисловості (Digitising European Industry) та впровадження нових технологій надання фінансових послуг (т.зв. FinTech). </w:t>
      </w:r>
    </w:p>
    <w:p w14:paraId="37014BE5" w14:textId="341FF534" w:rsidR="00923167" w:rsidRDefault="00923167" w:rsidP="00624FC8">
      <w:pPr>
        <w:spacing w:after="0" w:line="240" w:lineRule="auto"/>
        <w:ind w:firstLine="709"/>
        <w:jc w:val="both"/>
        <w:rPr>
          <w:rFonts w:ascii="Cambria" w:hAnsi="Cambria" w:cstheme="minorHAnsi"/>
          <w:sz w:val="28"/>
          <w:szCs w:val="28"/>
        </w:rPr>
      </w:pPr>
      <w:r w:rsidRPr="00923167">
        <w:rPr>
          <w:rFonts w:ascii="Cambria" w:hAnsi="Cambria" w:cstheme="minorHAnsi"/>
          <w:sz w:val="28"/>
          <w:szCs w:val="28"/>
        </w:rPr>
        <w:t>Для України в цьому контексті інтерес представляє європейська ініціатива “Цифрові рішення протягом усього життєвого циклу компанії” (Digital solutions throughout a company’s lifecycle), спрямована на надання можливості компаніям здійснювати онлайн усі адміністративні процедури впродовж усього періоду свої діяльності.</w:t>
      </w:r>
    </w:p>
    <w:p w14:paraId="01A8B2CF" w14:textId="77777777" w:rsidR="00AD6111" w:rsidRDefault="00AD6111" w:rsidP="00624FC8">
      <w:pPr>
        <w:spacing w:after="0" w:line="240" w:lineRule="auto"/>
        <w:ind w:firstLine="709"/>
        <w:jc w:val="both"/>
        <w:rPr>
          <w:rFonts w:ascii="Cambria" w:hAnsi="Cambria" w:cstheme="minorHAnsi"/>
          <w:sz w:val="28"/>
          <w:szCs w:val="28"/>
        </w:rPr>
      </w:pPr>
      <w:r w:rsidRPr="00AD6111">
        <w:rPr>
          <w:rFonts w:ascii="Cambria" w:hAnsi="Cambria" w:cstheme="minorHAnsi"/>
          <w:sz w:val="28"/>
          <w:szCs w:val="28"/>
        </w:rPr>
        <w:t>Новий перспективний напрям взаємодії, актуальність якого значно зросла через виклики у сфері охорони здоров’я – кардинальна зміна моделі надання медичних послуг на основі переходу до інтегрованої пацієнт-центричної моделі, в рамках якої можливе ведення в електронній формі базових медичних даних та передача їх до інших медичних установ, у т.ч. за кордоном, виписка електронних рецептів на ліки, а в більш тривалій перспективі – можливість електронної передачі всієї медичної історії пацієнта з використанням технологій великих даних. Слід вивчити і можливості долучення України до роботи створюваних з 2017</w:t>
      </w:r>
      <w:r>
        <w:rPr>
          <w:rFonts w:ascii="Cambria" w:hAnsi="Cambria" w:cstheme="minorHAnsi"/>
          <w:sz w:val="28"/>
          <w:szCs w:val="28"/>
        </w:rPr>
        <w:t xml:space="preserve"> </w:t>
      </w:r>
      <w:r w:rsidRPr="00AD6111">
        <w:rPr>
          <w:rFonts w:ascii="Cambria" w:hAnsi="Cambria" w:cstheme="minorHAnsi"/>
          <w:sz w:val="28"/>
          <w:szCs w:val="28"/>
        </w:rPr>
        <w:t xml:space="preserve">р. Європейських довідкових мереж (European Reference Networks), які дозволяють об’єднати процеси проведення медичної експертизи. </w:t>
      </w:r>
    </w:p>
    <w:p w14:paraId="28659F15" w14:textId="77777777" w:rsidR="00AD6111" w:rsidRDefault="00AD6111" w:rsidP="00624FC8">
      <w:pPr>
        <w:spacing w:after="0" w:line="240" w:lineRule="auto"/>
        <w:ind w:firstLine="709"/>
        <w:jc w:val="both"/>
        <w:rPr>
          <w:rFonts w:ascii="Cambria" w:hAnsi="Cambria" w:cstheme="minorHAnsi"/>
          <w:sz w:val="28"/>
          <w:szCs w:val="28"/>
        </w:rPr>
      </w:pPr>
      <w:r w:rsidRPr="00AD6111">
        <w:rPr>
          <w:rFonts w:ascii="Cambria" w:hAnsi="Cambria" w:cstheme="minorHAnsi"/>
          <w:sz w:val="28"/>
          <w:szCs w:val="28"/>
        </w:rPr>
        <w:t>Для України створення таких можливостей взаємодії у сфері цифровізації передбачає кардинальне нарощування інвестицій у цифрові технології та цифрову інфраструктуру. Адже в ЄС загальний обсяг інвестицій на цілі досліджень та інновацій на період 2016</w:t>
      </w:r>
      <w:r>
        <w:rPr>
          <w:rFonts w:ascii="Cambria" w:hAnsi="Cambria" w:cstheme="minorHAnsi"/>
          <w:sz w:val="28"/>
          <w:szCs w:val="28"/>
        </w:rPr>
        <w:t xml:space="preserve"> – </w:t>
      </w:r>
      <w:r w:rsidRPr="00AD6111">
        <w:rPr>
          <w:rFonts w:ascii="Cambria" w:hAnsi="Cambria" w:cstheme="minorHAnsi"/>
          <w:sz w:val="28"/>
          <w:szCs w:val="28"/>
        </w:rPr>
        <w:t>2020</w:t>
      </w:r>
      <w:r>
        <w:rPr>
          <w:rFonts w:ascii="Cambria" w:hAnsi="Cambria" w:cstheme="minorHAnsi"/>
          <w:sz w:val="28"/>
          <w:szCs w:val="28"/>
        </w:rPr>
        <w:t xml:space="preserve"> </w:t>
      </w:r>
      <w:r w:rsidRPr="00AD6111">
        <w:rPr>
          <w:rFonts w:ascii="Cambria" w:hAnsi="Cambria" w:cstheme="minorHAnsi"/>
          <w:sz w:val="28"/>
          <w:szCs w:val="28"/>
        </w:rPr>
        <w:t>рр. складає €5,5 млрд., а €21,4 млрд. ресурсів європейських структурних та інвестицій- них фондів призначені для розвитку цифрових технологій та широкосмугового Інтернету. Показово, що Україна сьогодні випереджає серед ній показник ЄС за загальною кількістю користувачів мобільного зв’язку в розрахунку на 100 осіб населення (127,831 проти 122,7 у 2018</w:t>
      </w:r>
      <w:r>
        <w:rPr>
          <w:rFonts w:ascii="Cambria" w:hAnsi="Cambria" w:cstheme="minorHAnsi"/>
          <w:sz w:val="28"/>
          <w:szCs w:val="28"/>
        </w:rPr>
        <w:t xml:space="preserve"> </w:t>
      </w:r>
      <w:r w:rsidRPr="00AD6111">
        <w:rPr>
          <w:rFonts w:ascii="Cambria" w:hAnsi="Cambria" w:cstheme="minorHAnsi"/>
          <w:sz w:val="28"/>
          <w:szCs w:val="28"/>
        </w:rPr>
        <w:t>р.), але за кількістю користувачів Інтернету (% чисельності населення) – помітно поступається (62,6 проти 81,6 у 2018</w:t>
      </w:r>
      <w:r>
        <w:rPr>
          <w:rFonts w:ascii="Cambria" w:hAnsi="Cambria" w:cstheme="minorHAnsi"/>
          <w:sz w:val="28"/>
          <w:szCs w:val="28"/>
        </w:rPr>
        <w:t xml:space="preserve"> </w:t>
      </w:r>
      <w:r w:rsidRPr="00AD6111">
        <w:rPr>
          <w:rFonts w:ascii="Cambria" w:hAnsi="Cambria" w:cstheme="minorHAnsi"/>
          <w:sz w:val="28"/>
          <w:szCs w:val="28"/>
        </w:rPr>
        <w:t>р.), при тому, що в низці країн ЄС (Австрія, Бельгія, Естонія, Фінляндія, Німеччина, Іспанія, Швеція) цей показник становить майже 90%, а в Данії, Люксембургу, Нідерландах та Швеції – 93-98%. Але ще більший розрив спостерігається за показником якості використовуваних ІКТ-технологій, хоча в цій сфері і відбуваються інтенсивні позитивні зміни: за чисельністю користувачів широкосмугового Інтернету в розрахунку на 100 осіб (12,8 у 2018</w:t>
      </w:r>
      <w:r>
        <w:rPr>
          <w:rFonts w:ascii="Cambria" w:hAnsi="Cambria" w:cstheme="minorHAnsi"/>
          <w:sz w:val="28"/>
          <w:szCs w:val="28"/>
        </w:rPr>
        <w:t xml:space="preserve"> </w:t>
      </w:r>
      <w:r w:rsidRPr="00AD6111">
        <w:rPr>
          <w:rFonts w:ascii="Cambria" w:hAnsi="Cambria" w:cstheme="minorHAnsi"/>
          <w:sz w:val="28"/>
          <w:szCs w:val="28"/>
        </w:rPr>
        <w:t>р. та 16,2 у 2019</w:t>
      </w:r>
      <w:r>
        <w:rPr>
          <w:rFonts w:ascii="Cambria" w:hAnsi="Cambria" w:cstheme="minorHAnsi"/>
          <w:sz w:val="28"/>
          <w:szCs w:val="28"/>
        </w:rPr>
        <w:t xml:space="preserve"> </w:t>
      </w:r>
      <w:r w:rsidRPr="00AD6111">
        <w:rPr>
          <w:rFonts w:ascii="Cambria" w:hAnsi="Cambria" w:cstheme="minorHAnsi"/>
          <w:sz w:val="28"/>
          <w:szCs w:val="28"/>
        </w:rPr>
        <w:t>р.) Україна дуже істотно поступається середньому показнику ЄС (34,7 у 2018</w:t>
      </w:r>
      <w:r>
        <w:rPr>
          <w:rFonts w:ascii="Cambria" w:hAnsi="Cambria" w:cstheme="minorHAnsi"/>
          <w:sz w:val="28"/>
          <w:szCs w:val="28"/>
        </w:rPr>
        <w:t xml:space="preserve"> </w:t>
      </w:r>
      <w:r w:rsidRPr="00AD6111">
        <w:rPr>
          <w:rFonts w:ascii="Cambria" w:hAnsi="Cambria" w:cstheme="minorHAnsi"/>
          <w:sz w:val="28"/>
          <w:szCs w:val="28"/>
        </w:rPr>
        <w:t>р.). Відставання від країн-лідерів у цій сфері в ЄС є ще більшим: у Данії, Франції, Мальті, Німеччині, Нідерландах цей показник у 2018-2019</w:t>
      </w:r>
      <w:r>
        <w:rPr>
          <w:rFonts w:ascii="Cambria" w:hAnsi="Cambria" w:cstheme="minorHAnsi"/>
          <w:sz w:val="28"/>
          <w:szCs w:val="28"/>
        </w:rPr>
        <w:t xml:space="preserve"> </w:t>
      </w:r>
      <w:r w:rsidRPr="00AD6111">
        <w:rPr>
          <w:rFonts w:ascii="Cambria" w:hAnsi="Cambria" w:cstheme="minorHAnsi"/>
          <w:sz w:val="28"/>
          <w:szCs w:val="28"/>
        </w:rPr>
        <w:t xml:space="preserve">рр. становив 41,1-45,69. </w:t>
      </w:r>
    </w:p>
    <w:p w14:paraId="71D150D4" w14:textId="77777777" w:rsidR="00AD6111" w:rsidRDefault="00AD6111" w:rsidP="00624FC8">
      <w:pPr>
        <w:spacing w:after="0" w:line="240" w:lineRule="auto"/>
        <w:ind w:firstLine="709"/>
        <w:jc w:val="both"/>
        <w:rPr>
          <w:rFonts w:ascii="Cambria" w:hAnsi="Cambria" w:cstheme="minorHAnsi"/>
          <w:sz w:val="28"/>
          <w:szCs w:val="28"/>
        </w:rPr>
      </w:pPr>
      <w:r w:rsidRPr="00AD6111">
        <w:rPr>
          <w:rFonts w:ascii="Cambria" w:hAnsi="Cambria" w:cstheme="minorHAnsi"/>
          <w:sz w:val="28"/>
          <w:szCs w:val="28"/>
        </w:rPr>
        <w:t>За кількістю безпечних серверів Інтернету на 1 млн. населення Україна у 2019</w:t>
      </w:r>
      <w:r>
        <w:rPr>
          <w:rFonts w:ascii="Cambria" w:hAnsi="Cambria" w:cstheme="minorHAnsi"/>
          <w:sz w:val="28"/>
          <w:szCs w:val="28"/>
        </w:rPr>
        <w:t xml:space="preserve"> </w:t>
      </w:r>
      <w:r w:rsidRPr="00AD6111">
        <w:rPr>
          <w:rFonts w:ascii="Cambria" w:hAnsi="Cambria" w:cstheme="minorHAnsi"/>
          <w:sz w:val="28"/>
          <w:szCs w:val="28"/>
        </w:rPr>
        <w:t xml:space="preserve">р. поступалася середньому показнику по ЄС в 5,3 рази, а Німеччині – у 9,9 разів, Естонії – у 10,6 разів, Ірландії – в 12,1 разів, Нідерландам – в 16,6 разів, Данії – у 35,2 разів. Таке кардинальне </w:t>
      </w:r>
      <w:r w:rsidRPr="00AD6111">
        <w:rPr>
          <w:rFonts w:ascii="Cambria" w:hAnsi="Cambria" w:cstheme="minorHAnsi"/>
          <w:sz w:val="28"/>
          <w:szCs w:val="28"/>
        </w:rPr>
        <w:lastRenderedPageBreak/>
        <w:t xml:space="preserve">відставання за параметрами безпеки ставить під сумнів перспективи швидкого поширення у країні електронної комерції та електронного банкінгу і має бути подолане в рамках програми взаємодії України та ЄС у сфері цифровізації. Без цього участь в ЄЦР ЄС може бути лише фрагментарною за сферою та малопомітною за обсягами операцій. </w:t>
      </w:r>
    </w:p>
    <w:p w14:paraId="4E04F621" w14:textId="7105C5BA" w:rsidR="00923167" w:rsidRDefault="00AD6111" w:rsidP="00624FC8">
      <w:pPr>
        <w:spacing w:after="0" w:line="240" w:lineRule="auto"/>
        <w:ind w:firstLine="709"/>
        <w:jc w:val="both"/>
        <w:rPr>
          <w:rFonts w:ascii="Cambria" w:hAnsi="Cambria" w:cstheme="minorHAnsi"/>
          <w:sz w:val="28"/>
          <w:szCs w:val="28"/>
        </w:rPr>
      </w:pPr>
      <w:r w:rsidRPr="00AD6111">
        <w:rPr>
          <w:rFonts w:ascii="Cambria" w:hAnsi="Cambria" w:cstheme="minorHAnsi"/>
          <w:sz w:val="28"/>
          <w:szCs w:val="28"/>
        </w:rPr>
        <w:t>Таким чином, текст Угоди необхідно доповнити новими положеннями стосовно інтеграції України до Єдиного цифрового ринку ЄС, а Додаток XVII до Угоди – новим Доповненням, що визначало б зобов’язання щодо наближення законодавства України у сфері цифрової економіки і торгівлі до права ЄС. Таке доповнення має поширюватися не лише на нормативні акти ЄС з питань єдиного цифрового ринку, які вже прийняті, але й ті, які нині знаходяться у стадії ухвалення і незабаром доповнять існуючий нормативно-правовий масив ЄС, який дуже швидко розвивається</w:t>
      </w:r>
      <w:r>
        <w:rPr>
          <w:rFonts w:ascii="Cambria" w:hAnsi="Cambria" w:cstheme="minorHAnsi"/>
          <w:sz w:val="28"/>
          <w:szCs w:val="28"/>
        </w:rPr>
        <w:t>.</w:t>
      </w:r>
    </w:p>
    <w:p w14:paraId="01F711A2" w14:textId="77777777" w:rsidR="00AD6111" w:rsidRDefault="00AD6111" w:rsidP="00624FC8">
      <w:pPr>
        <w:spacing w:after="0" w:line="240" w:lineRule="auto"/>
        <w:ind w:firstLine="709"/>
        <w:jc w:val="both"/>
        <w:rPr>
          <w:rFonts w:ascii="Cambria" w:hAnsi="Cambria" w:cstheme="minorHAnsi"/>
          <w:sz w:val="28"/>
          <w:szCs w:val="28"/>
        </w:rPr>
      </w:pPr>
    </w:p>
    <w:p w14:paraId="165E70FE" w14:textId="1613E0BA" w:rsidR="00AD6111" w:rsidRPr="00AD6111" w:rsidRDefault="00AD6111" w:rsidP="00624FC8">
      <w:pPr>
        <w:spacing w:after="0" w:line="240" w:lineRule="auto"/>
        <w:ind w:firstLine="709"/>
        <w:jc w:val="both"/>
        <w:rPr>
          <w:rFonts w:ascii="Cambria" w:hAnsi="Cambria" w:cstheme="minorHAnsi"/>
          <w:b/>
          <w:bCs/>
          <w:sz w:val="28"/>
          <w:szCs w:val="28"/>
        </w:rPr>
      </w:pPr>
      <w:r w:rsidRPr="00AD6111">
        <w:rPr>
          <w:rFonts w:ascii="Cambria" w:hAnsi="Cambria" w:cstheme="minorHAnsi"/>
          <w:b/>
          <w:bCs/>
          <w:sz w:val="28"/>
          <w:szCs w:val="28"/>
        </w:rPr>
        <w:t>ПИТАННЯ 3.</w:t>
      </w:r>
    </w:p>
    <w:p w14:paraId="221CF393" w14:textId="5E4A90BF" w:rsidR="00AD6111" w:rsidRDefault="00AD6111" w:rsidP="00624FC8">
      <w:pPr>
        <w:spacing w:after="0" w:line="240" w:lineRule="auto"/>
        <w:ind w:firstLine="709"/>
        <w:jc w:val="both"/>
        <w:rPr>
          <w:rFonts w:ascii="Cambria" w:hAnsi="Cambria" w:cstheme="minorHAnsi"/>
          <w:sz w:val="28"/>
          <w:szCs w:val="28"/>
        </w:rPr>
      </w:pPr>
      <w:r w:rsidRPr="00AD6111">
        <w:rPr>
          <w:rFonts w:ascii="Cambria" w:hAnsi="Cambria" w:cstheme="minorHAnsi"/>
          <w:sz w:val="28"/>
          <w:szCs w:val="28"/>
        </w:rPr>
        <w:t>Реструктуризація та оновлення транспортного сектору, а також поступова гармонізація діючих стандартів та політики з існуючими в ЄС – важливий пріоритет України згідно зі ст.368 Угоди про асоціацію. Транспорт сьогодні є однією з базових галузей економіки, яка у 2019р. сформувала 6,7% ВВП і на яку припало 6% загальної чисельності зайнятого населення34. Угода передбачає забезпечення сумісності транспортних систем шляхом імплементації директив і технічних регламентів ЄС, усунення адміністративних і технічних перешкод, модернізацію інфраструктури та технічного обладнання, інтеграцію за усіма видами транспорту, налагодження і зміцнення співпраці з європейськими транспортними агентствами. Інтеграція в цьому секторі може сприяти розвитку експорту транспортних послуг та ефективному використанню транзитного потенціалу. Однак, за даними онлайн-системи моніторингу “Пульс Угоди”, рівень виконання визначених Угодою завдань з 2014р. є найнижчим з-поміж інших – лише</w:t>
      </w:r>
      <w:r>
        <w:rPr>
          <w:rFonts w:ascii="Cambria" w:hAnsi="Cambria" w:cstheme="minorHAnsi"/>
          <w:sz w:val="28"/>
          <w:szCs w:val="28"/>
        </w:rPr>
        <w:t xml:space="preserve"> </w:t>
      </w:r>
      <w:r w:rsidRPr="00AD6111">
        <w:rPr>
          <w:rFonts w:ascii="Cambria" w:hAnsi="Cambria" w:cstheme="minorHAnsi"/>
          <w:sz w:val="28"/>
          <w:szCs w:val="28"/>
        </w:rPr>
        <w:t>27%. Такий результат не є випадковим, зважаючи на те, що інтеграція транспортної системи України до європейської є тривалою через нерозвинутість вітчизняного транспортного сектору (низький рівень інноваційності, безпеки, надання якісних транспорт них послуг) та необхідність проведення технологічної модернізації наявної інфраструктури, а також млявість інституційних і законодавчих (не прийнято жодного базового євроінтеграційного закону) змін. Поступ за цим сектором розглядається з позиції інтеграції транспортно-логістичної інфраструктури України до європейської транспортної мережі (TEN-T) та особливостей імплементації європейських стандартів і вимог</w:t>
      </w:r>
      <w:r>
        <w:rPr>
          <w:rFonts w:ascii="Cambria" w:hAnsi="Cambria" w:cstheme="minorHAnsi"/>
          <w:sz w:val="28"/>
          <w:szCs w:val="28"/>
        </w:rPr>
        <w:t>.</w:t>
      </w:r>
    </w:p>
    <w:p w14:paraId="28FFA4D3" w14:textId="5A89F21D" w:rsidR="00AD6111" w:rsidRDefault="00AD6111" w:rsidP="00624FC8">
      <w:pPr>
        <w:spacing w:after="0" w:line="240" w:lineRule="auto"/>
        <w:ind w:firstLine="709"/>
        <w:jc w:val="both"/>
        <w:rPr>
          <w:rFonts w:ascii="Cambria" w:hAnsi="Cambria" w:cstheme="minorHAnsi"/>
          <w:sz w:val="28"/>
          <w:szCs w:val="28"/>
        </w:rPr>
      </w:pPr>
      <w:r w:rsidRPr="00AD6111">
        <w:rPr>
          <w:rFonts w:ascii="Cambria" w:hAnsi="Cambria" w:cstheme="minorHAnsi"/>
          <w:i/>
          <w:iCs/>
          <w:sz w:val="28"/>
          <w:szCs w:val="28"/>
        </w:rPr>
        <w:t>Галузева інтеграція у транспортному секторі</w:t>
      </w:r>
      <w:r w:rsidRPr="00AD6111">
        <w:rPr>
          <w:rFonts w:ascii="Cambria" w:hAnsi="Cambria" w:cstheme="minorHAnsi"/>
          <w:i/>
          <w:iCs/>
          <w:sz w:val="28"/>
          <w:szCs w:val="28"/>
        </w:rPr>
        <w:t>.</w:t>
      </w:r>
      <w:r w:rsidRPr="00AD6111">
        <w:rPr>
          <w:rFonts w:ascii="Cambria" w:hAnsi="Cambria" w:cstheme="minorHAnsi"/>
          <w:sz w:val="28"/>
          <w:szCs w:val="28"/>
        </w:rPr>
        <w:t xml:space="preserve"> Відповідно до ст.</w:t>
      </w:r>
      <w:r>
        <w:rPr>
          <w:rFonts w:ascii="Cambria" w:hAnsi="Cambria" w:cstheme="minorHAnsi"/>
          <w:sz w:val="28"/>
          <w:szCs w:val="28"/>
        </w:rPr>
        <w:t xml:space="preserve"> </w:t>
      </w:r>
      <w:r w:rsidRPr="00AD6111">
        <w:rPr>
          <w:rFonts w:ascii="Cambria" w:hAnsi="Cambria" w:cstheme="minorHAnsi"/>
          <w:sz w:val="28"/>
          <w:szCs w:val="28"/>
        </w:rPr>
        <w:t xml:space="preserve">369 Угоди, розробка та прийняття стратегічного всеохоплюючого документа у сфері транспорту – ключова вимога. Так, Розпорядженням КМУ №430 від 30 травня 2018р. схвалено Національну транспортну стратегію України на період до 2030р., основним завданням якої є адаптація національного законодавства до законодавства ЄС, що сприятиме лібералізації та </w:t>
      </w:r>
      <w:r w:rsidRPr="00AD6111">
        <w:rPr>
          <w:rFonts w:ascii="Cambria" w:hAnsi="Cambria" w:cstheme="minorHAnsi"/>
          <w:sz w:val="28"/>
          <w:szCs w:val="28"/>
        </w:rPr>
        <w:lastRenderedPageBreak/>
        <w:t>взаємному доступу на ринки України та ЄС. Законодавство щодо врегулювання послуг автомобільного транспорту з метою приведення їх у відповідність до актів ЄС прийнято не було. Лише на початку 2020</w:t>
      </w:r>
      <w:r>
        <w:rPr>
          <w:rFonts w:ascii="Cambria" w:hAnsi="Cambria" w:cstheme="minorHAnsi"/>
          <w:sz w:val="28"/>
          <w:szCs w:val="28"/>
        </w:rPr>
        <w:t xml:space="preserve"> </w:t>
      </w:r>
      <w:r w:rsidRPr="00AD6111">
        <w:rPr>
          <w:rFonts w:ascii="Cambria" w:hAnsi="Cambria" w:cstheme="minorHAnsi"/>
          <w:sz w:val="28"/>
          <w:szCs w:val="28"/>
        </w:rPr>
        <w:t>р. було розроблено законопроект “Про внесення змін до деяких законодавчих актів України щодо врегулювання ринку послуг автомобільного транспорту в Україні з метою приведення</w:t>
      </w:r>
      <w:r>
        <w:rPr>
          <w:rFonts w:ascii="Cambria" w:hAnsi="Cambria" w:cstheme="minorHAnsi"/>
          <w:sz w:val="28"/>
          <w:szCs w:val="28"/>
        </w:rPr>
        <w:t xml:space="preserve"> </w:t>
      </w:r>
      <w:r w:rsidRPr="00AD6111">
        <w:rPr>
          <w:rFonts w:ascii="Cambria" w:hAnsi="Cambria" w:cstheme="minorHAnsi"/>
          <w:sz w:val="28"/>
          <w:szCs w:val="28"/>
        </w:rPr>
        <w:t>їх у відповідність з актом Європейського Союзу”, яким визначаються умови надання ліцензій на автомобільному транспорті (відповідно до положень Регламенту №1071/2009 від 21 жовтня 2009</w:t>
      </w:r>
      <w:r>
        <w:rPr>
          <w:rFonts w:ascii="Cambria" w:hAnsi="Cambria" w:cstheme="minorHAnsi"/>
          <w:sz w:val="28"/>
          <w:szCs w:val="28"/>
        </w:rPr>
        <w:t xml:space="preserve"> </w:t>
      </w:r>
      <w:r w:rsidRPr="00AD6111">
        <w:rPr>
          <w:rFonts w:ascii="Cambria" w:hAnsi="Cambria" w:cstheme="minorHAnsi"/>
          <w:sz w:val="28"/>
          <w:szCs w:val="28"/>
        </w:rPr>
        <w:t>р.) та забезпечення безпеки перевезень</w:t>
      </w:r>
      <w:r>
        <w:rPr>
          <w:rFonts w:ascii="Cambria" w:hAnsi="Cambria" w:cstheme="minorHAnsi"/>
          <w:sz w:val="28"/>
          <w:szCs w:val="28"/>
        </w:rPr>
        <w:t>.</w:t>
      </w:r>
    </w:p>
    <w:p w14:paraId="6C2CE940" w14:textId="11FD3197" w:rsidR="00AD6111" w:rsidRDefault="00AD6111" w:rsidP="00AD6111">
      <w:pPr>
        <w:spacing w:after="0" w:line="240" w:lineRule="auto"/>
        <w:ind w:firstLine="709"/>
        <w:jc w:val="both"/>
        <w:rPr>
          <w:rFonts w:ascii="Cambria" w:hAnsi="Cambria" w:cstheme="minorHAnsi"/>
          <w:sz w:val="28"/>
          <w:szCs w:val="28"/>
        </w:rPr>
      </w:pPr>
      <w:r w:rsidRPr="00AD6111">
        <w:rPr>
          <w:rFonts w:ascii="Cambria" w:hAnsi="Cambria" w:cstheme="minorHAnsi"/>
          <w:i/>
          <w:iCs/>
          <w:sz w:val="28"/>
          <w:szCs w:val="28"/>
        </w:rPr>
        <w:t>ПРИКЛАД.</w:t>
      </w:r>
      <w:r>
        <w:rPr>
          <w:rFonts w:ascii="Cambria" w:hAnsi="Cambria" w:cstheme="minorHAnsi"/>
          <w:sz w:val="28"/>
          <w:szCs w:val="28"/>
        </w:rPr>
        <w:t xml:space="preserve"> </w:t>
      </w:r>
      <w:r w:rsidRPr="00AD6111">
        <w:rPr>
          <w:rFonts w:ascii="Cambria" w:hAnsi="Cambria" w:cstheme="minorHAnsi"/>
          <w:sz w:val="28"/>
          <w:szCs w:val="28"/>
        </w:rPr>
        <w:t>У сфері автомобільного транспорту сьогодні склалася конфліктна ситуація з Польщею щодо дозволів на міжнародні вантажні автоперевезення. На момент підписання Угоди квота дозволів становила 200 тис./ рік. Останніми роками вона була зменшена польською стороною до 160 тис./рік. Такий крок має негативні економічні наслідки не тільки для економік України та Польщі (недостатність дозволів украй негативно впливає на товарообіг обох країн), але й інших країн-членів ЄС, оскільки територією Польщі проходять транзитні потоки в напрямку Центральної та Західної Європи.</w:t>
      </w:r>
      <w:r>
        <w:rPr>
          <w:rFonts w:ascii="Cambria" w:hAnsi="Cambria" w:cstheme="minorHAnsi"/>
          <w:sz w:val="28"/>
          <w:szCs w:val="28"/>
        </w:rPr>
        <w:t xml:space="preserve"> </w:t>
      </w:r>
    </w:p>
    <w:p w14:paraId="1758BCBF" w14:textId="7379517F" w:rsidR="00AD6111" w:rsidRDefault="00AD6111" w:rsidP="00624FC8">
      <w:pPr>
        <w:spacing w:after="0" w:line="240" w:lineRule="auto"/>
        <w:ind w:firstLine="709"/>
        <w:jc w:val="both"/>
        <w:rPr>
          <w:rFonts w:ascii="Cambria" w:hAnsi="Cambria" w:cstheme="minorHAnsi"/>
          <w:sz w:val="28"/>
          <w:szCs w:val="28"/>
        </w:rPr>
      </w:pPr>
      <w:r w:rsidRPr="00AD6111">
        <w:rPr>
          <w:rFonts w:ascii="Cambria" w:hAnsi="Cambria" w:cstheme="minorHAnsi"/>
          <w:sz w:val="28"/>
          <w:szCs w:val="28"/>
        </w:rPr>
        <w:t>Сьогодні вкрай важливо активізувати роботу в напрямі саме ухвалення законодавства у сфері транспорту та імплементації його норм, оскільки це є запорукою доступу до джерел фінансування квітня 2018</w:t>
      </w:r>
      <w:r>
        <w:rPr>
          <w:rFonts w:ascii="Cambria" w:hAnsi="Cambria" w:cstheme="minorHAnsi"/>
          <w:sz w:val="28"/>
          <w:szCs w:val="28"/>
        </w:rPr>
        <w:t xml:space="preserve"> </w:t>
      </w:r>
      <w:r w:rsidRPr="00AD6111">
        <w:rPr>
          <w:rFonts w:ascii="Cambria" w:hAnsi="Cambria" w:cstheme="minorHAnsi"/>
          <w:sz w:val="28"/>
          <w:szCs w:val="28"/>
        </w:rPr>
        <w:t>р., інфраструктурних проектів. Імплементація європейських вимог також дозволить усунути бар’єри для транскордонного руху товарів і пасажирів, а з тим – стане стимулом до зростання обсягів пасажиро- та вантажоперевезень, дозволить залучати додаткові інвестиції у розвиток і модернізацію наявної та побудови нової транспортної (у т.ч. інтелектуальної) інфраструктури. Подальша співпраця сторін у рамках Угоди сприятиме реструктуризації та модернізації транспортного сектору України, розвитку сталої, ефективної, безпечної та надійної транспортної системи з поглибленням її взаємозв’язку з іншими сферами.</w:t>
      </w:r>
    </w:p>
    <w:p w14:paraId="53FA6D8C" w14:textId="77777777" w:rsidR="00AD6111" w:rsidRDefault="00AD6111" w:rsidP="00624FC8">
      <w:pPr>
        <w:spacing w:after="0" w:line="240" w:lineRule="auto"/>
        <w:ind w:firstLine="709"/>
        <w:jc w:val="both"/>
        <w:rPr>
          <w:rFonts w:ascii="Cambria" w:hAnsi="Cambria" w:cstheme="minorHAnsi"/>
          <w:sz w:val="28"/>
          <w:szCs w:val="28"/>
        </w:rPr>
      </w:pPr>
    </w:p>
    <w:p w14:paraId="2163F94E" w14:textId="6B4ED0BC" w:rsidR="00AD6111" w:rsidRPr="00AD6111" w:rsidRDefault="00AD6111" w:rsidP="00624FC8">
      <w:pPr>
        <w:spacing w:after="0" w:line="240" w:lineRule="auto"/>
        <w:ind w:firstLine="709"/>
        <w:jc w:val="both"/>
        <w:rPr>
          <w:rFonts w:ascii="Cambria" w:hAnsi="Cambria" w:cstheme="minorHAnsi"/>
          <w:b/>
          <w:bCs/>
          <w:sz w:val="28"/>
          <w:szCs w:val="28"/>
        </w:rPr>
      </w:pPr>
      <w:r w:rsidRPr="00AD6111">
        <w:rPr>
          <w:rFonts w:ascii="Cambria" w:hAnsi="Cambria" w:cstheme="minorHAnsi"/>
          <w:b/>
          <w:bCs/>
          <w:sz w:val="28"/>
          <w:szCs w:val="28"/>
        </w:rPr>
        <w:t>ПИТАННЯ 4.</w:t>
      </w:r>
    </w:p>
    <w:p w14:paraId="5C28AA1D" w14:textId="77777777" w:rsidR="00681E2E" w:rsidRDefault="00AD6111" w:rsidP="00624FC8">
      <w:pPr>
        <w:spacing w:after="0" w:line="240" w:lineRule="auto"/>
        <w:ind w:firstLine="709"/>
        <w:jc w:val="both"/>
        <w:rPr>
          <w:rFonts w:ascii="Cambria" w:hAnsi="Cambria" w:cstheme="minorHAnsi"/>
          <w:sz w:val="28"/>
          <w:szCs w:val="28"/>
        </w:rPr>
      </w:pPr>
      <w:r w:rsidRPr="00AD6111">
        <w:rPr>
          <w:rFonts w:ascii="Cambria" w:hAnsi="Cambria" w:cstheme="minorHAnsi"/>
          <w:i/>
          <w:iCs/>
          <w:sz w:val="28"/>
          <w:szCs w:val="28"/>
        </w:rPr>
        <w:t>СПІВРОБІТНИЦТВО У БАНКІВСЬКОМУ СЕКТОРІ</w:t>
      </w:r>
      <w:r w:rsidRPr="00AD6111">
        <w:rPr>
          <w:rFonts w:ascii="Cambria" w:hAnsi="Cambria" w:cstheme="minorHAnsi"/>
          <w:i/>
          <w:iCs/>
          <w:sz w:val="28"/>
          <w:szCs w:val="28"/>
        </w:rPr>
        <w:t>.</w:t>
      </w:r>
      <w:r w:rsidRPr="00AD6111">
        <w:rPr>
          <w:rFonts w:ascii="Cambria" w:hAnsi="Cambria" w:cstheme="minorHAnsi"/>
          <w:sz w:val="28"/>
          <w:szCs w:val="28"/>
        </w:rPr>
        <w:t xml:space="preserve"> Угода про асоціацію розглядає питання взаємодії України та ЄС у банківському секторі в рамках загального підходу до взаємодії у секторі “Фінансові послуги” (підрозділ 6). Найбільш важливим акцентом у цій взаємодії визначено (ст.127 Угоди) досягнення ефективного і прозорого регулювання, у т.ч. на основі “забезпечення впровадження міжнародних стандартів регулювання та нагляду у сфері фінансових послуг та для боротьби з ухиленням від сплати податків”. До інших пріоритетів взаємодії в цій сфері віднесено сприяння впровадженню нових фінансових послуг (ст.128), регулювання порядку обробки даних (ст.129) та порядку вико</w:t>
      </w:r>
      <w:r>
        <w:rPr>
          <w:rFonts w:ascii="Cambria" w:hAnsi="Cambria" w:cstheme="minorHAnsi"/>
          <w:sz w:val="28"/>
          <w:szCs w:val="28"/>
        </w:rPr>
        <w:t>р</w:t>
      </w:r>
      <w:r w:rsidRPr="00AD6111">
        <w:rPr>
          <w:rFonts w:ascii="Cambria" w:hAnsi="Cambria" w:cstheme="minorHAnsi"/>
          <w:sz w:val="28"/>
          <w:szCs w:val="28"/>
        </w:rPr>
        <w:t xml:space="preserve">истання клірингових і платіжних систем, який має базуватися на принципі національного режиму в разі, якщо операторами таких систем є державні установи, а також гарантування доступу до офіційних механізмів фінансування та рефінансування, які є доступними за звичайних умов ведення бізнесу (ст.132). </w:t>
      </w:r>
    </w:p>
    <w:p w14:paraId="359D53E4" w14:textId="77777777" w:rsidR="00681E2E" w:rsidRDefault="00AD6111" w:rsidP="00624FC8">
      <w:pPr>
        <w:spacing w:after="0" w:line="240" w:lineRule="auto"/>
        <w:ind w:firstLine="709"/>
        <w:jc w:val="both"/>
        <w:rPr>
          <w:rFonts w:ascii="Cambria" w:hAnsi="Cambria" w:cstheme="minorHAnsi"/>
          <w:sz w:val="28"/>
          <w:szCs w:val="28"/>
        </w:rPr>
      </w:pPr>
      <w:r w:rsidRPr="00AD6111">
        <w:rPr>
          <w:rFonts w:ascii="Cambria" w:hAnsi="Cambria" w:cstheme="minorHAnsi"/>
          <w:sz w:val="28"/>
          <w:szCs w:val="28"/>
        </w:rPr>
        <w:lastRenderedPageBreak/>
        <w:t>Найбільш масштабні зобов’язання прописані Угодою у сфері наближення українського законодавства (чинного та майбутнього), що регулює банківський сектор, до права (acquis) ЄС – відповідно до графіку, визначеного Доповненням XVII-2 (“Правила, що застосовуються до фінансових послуг”) у складі Додатка XVII “Нормативно-правове наближення”. Цей процес у банківській сфері (підрозділ А Доповнення) був розрахований на два часові горизонти – тривалістю у 4 та 6 років з моменту набуття чинності Угодою (1 вересня 2017р.)</w:t>
      </w:r>
      <w:r w:rsidR="006C0420">
        <w:rPr>
          <w:rFonts w:ascii="Cambria" w:hAnsi="Cambria" w:cstheme="minorHAnsi"/>
          <w:sz w:val="28"/>
          <w:szCs w:val="28"/>
        </w:rPr>
        <w:t xml:space="preserve"> </w:t>
      </w:r>
      <w:r w:rsidR="006C0420" w:rsidRPr="006C0420">
        <w:rPr>
          <w:rFonts w:ascii="Cambria" w:hAnsi="Cambria" w:cstheme="minorHAnsi"/>
          <w:sz w:val="28"/>
          <w:szCs w:val="28"/>
        </w:rPr>
        <w:t xml:space="preserve">(додаток “Перелік директив ЄС, положення яких мають бути втілені в українському законодавстві, що регулює банківський сектор”, с.48). </w:t>
      </w:r>
    </w:p>
    <w:p w14:paraId="5E1C2A83" w14:textId="77777777" w:rsidR="00681E2E" w:rsidRDefault="006C0420" w:rsidP="00624FC8">
      <w:pPr>
        <w:spacing w:after="0" w:line="240" w:lineRule="auto"/>
        <w:ind w:firstLine="709"/>
        <w:jc w:val="both"/>
        <w:rPr>
          <w:rFonts w:ascii="Cambria" w:hAnsi="Cambria" w:cstheme="minorHAnsi"/>
          <w:sz w:val="28"/>
          <w:szCs w:val="28"/>
        </w:rPr>
      </w:pPr>
      <w:r w:rsidRPr="006C0420">
        <w:rPr>
          <w:rFonts w:ascii="Cambria" w:hAnsi="Cambria" w:cstheme="minorHAnsi"/>
          <w:sz w:val="28"/>
          <w:szCs w:val="28"/>
        </w:rPr>
        <w:t xml:space="preserve">Процес адаптації банківського законодавства передбачав нормативну гармонізацію за такими напрямами: вимоги щодо доступу для започаткування та здійснення діяльності кредитних інституцій; відносини з третіми країнами; принципи пруденційного нагляду; визначення власних коштів; положення щодо наявності достатніх резервів та капіталу; резерви на випадок ризиків відповідно до Базель І (через 4 роки) та Базель ІІ (через 6 років) та відповідні вимоги до капіталу банківської установи, а також питання банківського нагляду та розкриття інформації; нагляд за діяльністю кредитних установ, регулювання роботи з електронними грошима; система гарантування депозитів; порядок звітності банків та публікації звітів; порядок реорганізації та ліквідації кредитних установ. </w:t>
      </w:r>
    </w:p>
    <w:p w14:paraId="75C708B6" w14:textId="77777777" w:rsidR="00681E2E" w:rsidRDefault="006C0420" w:rsidP="00624FC8">
      <w:pPr>
        <w:spacing w:after="0" w:line="240" w:lineRule="auto"/>
        <w:ind w:firstLine="709"/>
        <w:jc w:val="both"/>
        <w:rPr>
          <w:rFonts w:ascii="Cambria" w:hAnsi="Cambria" w:cstheme="minorHAnsi"/>
          <w:sz w:val="28"/>
          <w:szCs w:val="28"/>
        </w:rPr>
      </w:pPr>
      <w:r w:rsidRPr="006C0420">
        <w:rPr>
          <w:rFonts w:ascii="Cambria" w:hAnsi="Cambria" w:cstheme="minorHAnsi"/>
          <w:sz w:val="28"/>
          <w:szCs w:val="28"/>
        </w:rPr>
        <w:t>Загалом Україна досить послідовно просувалася вперед у реалізації відповідних нормативно</w:t>
      </w:r>
      <w:r w:rsidR="00681E2E">
        <w:rPr>
          <w:rFonts w:ascii="Cambria" w:hAnsi="Cambria" w:cstheme="minorHAnsi"/>
          <w:sz w:val="28"/>
          <w:szCs w:val="28"/>
        </w:rPr>
        <w:t xml:space="preserve"> –</w:t>
      </w:r>
      <w:r w:rsidRPr="006C0420">
        <w:rPr>
          <w:rFonts w:ascii="Cambria" w:hAnsi="Cambria" w:cstheme="minorHAnsi"/>
          <w:sz w:val="28"/>
          <w:szCs w:val="28"/>
        </w:rPr>
        <w:t xml:space="preserve"> регулятивних реформ. Хоча цей процес і був досить болісним і призвів до виходу з банківського ринку практично половини комерційних банків (переважно малих і середніх за розміром), безумовно, реалізація заходів з нормативної адаптації загалом сприяла підвищенню якості української банківської системи та наблизила механізми банківських операцій до міжнародних та європейських стандартів. Однак, незважаючи на це, проблема адаптації законодавства, що регулює банківський сектор, до права ЄС не лише продовжує бути актуальною, але й суттєво загострилася внаслідок змін усередині самого ЄС. </w:t>
      </w:r>
    </w:p>
    <w:p w14:paraId="4CA3A4D1" w14:textId="77777777" w:rsidR="00681E2E" w:rsidRDefault="006C0420" w:rsidP="00624FC8">
      <w:pPr>
        <w:spacing w:after="0" w:line="240" w:lineRule="auto"/>
        <w:ind w:firstLine="709"/>
        <w:jc w:val="both"/>
        <w:rPr>
          <w:rFonts w:ascii="Cambria" w:hAnsi="Cambria" w:cstheme="minorHAnsi"/>
          <w:sz w:val="28"/>
          <w:szCs w:val="28"/>
        </w:rPr>
      </w:pPr>
      <w:r w:rsidRPr="006C0420">
        <w:rPr>
          <w:rFonts w:ascii="Cambria" w:hAnsi="Cambria" w:cstheme="minorHAnsi"/>
          <w:sz w:val="28"/>
          <w:szCs w:val="28"/>
        </w:rPr>
        <w:t>Реалізація положень Угоди відбувається в умовах здійснення в рамках ЄС масштабних заходів із завершення формування Економічного і валютного союзу, який має на меті створення Банківського союзу ЄС. Цей процес, ініційований ще у 2012</w:t>
      </w:r>
      <w:r w:rsidR="00681E2E">
        <w:rPr>
          <w:rFonts w:ascii="Cambria" w:hAnsi="Cambria" w:cstheme="minorHAnsi"/>
          <w:sz w:val="28"/>
          <w:szCs w:val="28"/>
        </w:rPr>
        <w:t xml:space="preserve"> </w:t>
      </w:r>
      <w:r w:rsidRPr="006C0420">
        <w:rPr>
          <w:rFonts w:ascii="Cambria" w:hAnsi="Cambria" w:cstheme="minorHAnsi"/>
          <w:sz w:val="28"/>
          <w:szCs w:val="28"/>
        </w:rPr>
        <w:t xml:space="preserve">р., передбачає запровадження нових комунітарних механізмів: Єдиного механізму банківського нагляду (Single Supervisory Mechanism, SSM), який є інтегрованою навколо ЄЦБ системою національних банківських спостережних органів, що поширюється не лише на зону євро, але є відкритою для всіх країн-членів ЄС; Єдиного механізму санації банків (Single Resolution Mechanism, SRM), яким має здійснювати пряме розв’язання кризових ситуацій через Єдину Раду з санації (Single Resolution Board) та пряма рекапіталізація проблемних банків через Єдиний санаційний фонд (Single Resolution Fund, SRF), що має фінансуватися банківським сектором; Єдиних правил і стандартів, включаючи більш жорсткі вимоги до капіталу комерційних банків, інструкції схем </w:t>
      </w:r>
      <w:r w:rsidRPr="006C0420">
        <w:rPr>
          <w:rFonts w:ascii="Cambria" w:hAnsi="Cambria" w:cstheme="minorHAnsi"/>
          <w:sz w:val="28"/>
          <w:szCs w:val="28"/>
        </w:rPr>
        <w:lastRenderedPageBreak/>
        <w:t xml:space="preserve">гарантування депозитів (Deposit Guarantee Scheme Directive) та правил, що запобігають банкрутству банків (Directive on Bank Recovery and Resolution). </w:t>
      </w:r>
    </w:p>
    <w:p w14:paraId="2CD79DFA" w14:textId="77777777" w:rsidR="00681E2E" w:rsidRDefault="006C0420" w:rsidP="00624FC8">
      <w:pPr>
        <w:spacing w:after="0" w:line="240" w:lineRule="auto"/>
        <w:ind w:firstLine="709"/>
        <w:jc w:val="both"/>
        <w:rPr>
          <w:rFonts w:ascii="Cambria" w:hAnsi="Cambria" w:cstheme="minorHAnsi"/>
          <w:sz w:val="28"/>
          <w:szCs w:val="28"/>
        </w:rPr>
      </w:pPr>
      <w:r w:rsidRPr="006C0420">
        <w:rPr>
          <w:rFonts w:ascii="Cambria" w:hAnsi="Cambria" w:cstheme="minorHAnsi"/>
          <w:sz w:val="28"/>
          <w:szCs w:val="28"/>
        </w:rPr>
        <w:t>Низкою офіційних документів ЄС64, прийнятих уже після підписання Угоди, зміст проекту Банківського союзу був істотно розширений. Зокрема, було ініційовано запровадження загальної схеми страхування депозитів у межах Банківського союзу, а також розробка спільного механізму кредитування “останньої надії” (common backstop) з метою розподілу банківських ризиків між країнами членами. Започатковано роботу щодо впровадження Європейської схеми страхування депозитів (European Deposit Insurance Scheme, EDIS) стосовно банківських депозитів. До нових механізмів нале жать інструменти врегулювання проблемних позик. З травня 2018</w:t>
      </w:r>
      <w:r w:rsidR="00681E2E">
        <w:rPr>
          <w:rFonts w:ascii="Cambria" w:hAnsi="Cambria" w:cstheme="minorHAnsi"/>
          <w:sz w:val="28"/>
          <w:szCs w:val="28"/>
        </w:rPr>
        <w:t xml:space="preserve"> </w:t>
      </w:r>
      <w:r w:rsidRPr="006C0420">
        <w:rPr>
          <w:rFonts w:ascii="Cambria" w:hAnsi="Cambria" w:cstheme="minorHAnsi"/>
          <w:sz w:val="28"/>
          <w:szCs w:val="28"/>
        </w:rPr>
        <w:t>р. реалізуються заходи з посилення норм регулювання банківського сектору, включаючи ухвалені ще у 2013</w:t>
      </w:r>
      <w:r w:rsidR="00681E2E">
        <w:rPr>
          <w:rFonts w:ascii="Cambria" w:hAnsi="Cambria" w:cstheme="minorHAnsi"/>
          <w:sz w:val="28"/>
          <w:szCs w:val="28"/>
        </w:rPr>
        <w:t xml:space="preserve"> </w:t>
      </w:r>
      <w:r w:rsidRPr="006C0420">
        <w:rPr>
          <w:rFonts w:ascii="Cambria" w:hAnsi="Cambria" w:cstheme="minorHAnsi"/>
          <w:sz w:val="28"/>
          <w:szCs w:val="28"/>
        </w:rPr>
        <w:t>р. Регламент і Директиву стосовно норм достатності капіталу (Capital Requirements Regulation, CRR; Capital Requirements Directive, CRD) та прийняті у 2014</w:t>
      </w:r>
      <w:r w:rsidR="00681E2E">
        <w:rPr>
          <w:rFonts w:ascii="Cambria" w:hAnsi="Cambria" w:cstheme="minorHAnsi"/>
          <w:sz w:val="28"/>
          <w:szCs w:val="28"/>
        </w:rPr>
        <w:t xml:space="preserve"> </w:t>
      </w:r>
      <w:r w:rsidRPr="006C0420">
        <w:rPr>
          <w:rFonts w:ascii="Cambria" w:hAnsi="Cambria" w:cstheme="minorHAnsi"/>
          <w:sz w:val="28"/>
          <w:szCs w:val="28"/>
        </w:rPr>
        <w:t xml:space="preserve">р. Директиву з фінансового оздоровлення та санації банків (Bank Recovery and Resolution Directive, BRRD), а також Регламент щодо Єдиного механізму санації банків (Single Resolution Mechanism Regulation, SRMR). </w:t>
      </w:r>
    </w:p>
    <w:p w14:paraId="4E8BD969" w14:textId="77777777" w:rsidR="00681E2E" w:rsidRDefault="006C0420" w:rsidP="00624FC8">
      <w:pPr>
        <w:spacing w:after="0" w:line="240" w:lineRule="auto"/>
        <w:ind w:firstLine="709"/>
        <w:jc w:val="both"/>
        <w:rPr>
          <w:rFonts w:ascii="Cambria" w:hAnsi="Cambria" w:cstheme="minorHAnsi"/>
          <w:sz w:val="28"/>
          <w:szCs w:val="28"/>
        </w:rPr>
      </w:pPr>
      <w:r w:rsidRPr="006C0420">
        <w:rPr>
          <w:rFonts w:ascii="Cambria" w:hAnsi="Cambria" w:cstheme="minorHAnsi"/>
          <w:sz w:val="28"/>
          <w:szCs w:val="28"/>
        </w:rPr>
        <w:t>Для України такі масштабні перетворення у функціонуванні банківського сектору ЄС створюють реальну перспективу виникнення значного</w:t>
      </w:r>
      <w:r w:rsidR="00681E2E">
        <w:rPr>
          <w:rFonts w:ascii="Cambria" w:hAnsi="Cambria" w:cstheme="minorHAnsi"/>
          <w:sz w:val="28"/>
          <w:szCs w:val="28"/>
        </w:rPr>
        <w:t xml:space="preserve"> </w:t>
      </w:r>
      <w:r w:rsidR="00681E2E" w:rsidRPr="00681E2E">
        <w:rPr>
          <w:rFonts w:ascii="Cambria" w:hAnsi="Cambria" w:cstheme="minorHAnsi"/>
          <w:sz w:val="28"/>
          <w:szCs w:val="28"/>
        </w:rPr>
        <w:t xml:space="preserve">інституційного розриву та системного відриву офіційно закріплених в Угоді завдань від реальної практики Єдиного ринку ЄС, що, безумовно, може зробити ефемерною перспективу інтеграції в єдиний ринок у частині положень, що належать до банківського сектору. Адже закріплена Додатком XVII програма наближення українського законодавства до права ЄС вже значною мірою втратила актуальність унаслідок істотного перегляду самим ЄС ключових положень своєї регулятивної системи у сфері банків. </w:t>
      </w:r>
    </w:p>
    <w:p w14:paraId="0D22BC7B" w14:textId="77777777" w:rsidR="00681E2E" w:rsidRDefault="00681E2E" w:rsidP="00624FC8">
      <w:pPr>
        <w:spacing w:after="0" w:line="240" w:lineRule="auto"/>
        <w:ind w:firstLine="709"/>
        <w:jc w:val="both"/>
        <w:rPr>
          <w:rFonts w:ascii="Cambria" w:hAnsi="Cambria" w:cstheme="minorHAnsi"/>
          <w:sz w:val="28"/>
          <w:szCs w:val="28"/>
        </w:rPr>
      </w:pPr>
      <w:r w:rsidRPr="00681E2E">
        <w:rPr>
          <w:rFonts w:ascii="Cambria" w:hAnsi="Cambria" w:cstheme="minorHAnsi"/>
          <w:sz w:val="28"/>
          <w:szCs w:val="28"/>
        </w:rPr>
        <w:t>Слід відзначити, що в умовах зростаючого розриву між офіційно закріпленими положеннями програми адаптації банківського законодавства та реальним складом чинних норм права ЄС українська сторона в рамках Угоди пішла шляхом одностороннього врахування нових нормативно-правових актів ЄС у своїх програмах реформування банківського сектору. Конкретним інструментом проведення такої полі тики стала насамперед Комплексна програма роз витку фінансового сектору України до 2020</w:t>
      </w:r>
      <w:r>
        <w:rPr>
          <w:rFonts w:ascii="Cambria" w:hAnsi="Cambria" w:cstheme="minorHAnsi"/>
          <w:sz w:val="28"/>
          <w:szCs w:val="28"/>
        </w:rPr>
        <w:t xml:space="preserve"> </w:t>
      </w:r>
      <w:r w:rsidRPr="00681E2E">
        <w:rPr>
          <w:rFonts w:ascii="Cambria" w:hAnsi="Cambria" w:cstheme="minorHAnsi"/>
          <w:sz w:val="28"/>
          <w:szCs w:val="28"/>
        </w:rPr>
        <w:t>р., що передбачає заходи з виконання зобов’язань України в рамках Угоди, включаючи нові акти законодавства ЄС у цій сфері. Зараз підготовлено Стратегію розвитку фінансового сектору України до 2025</w:t>
      </w:r>
      <w:r>
        <w:rPr>
          <w:rFonts w:ascii="Cambria" w:hAnsi="Cambria" w:cstheme="minorHAnsi"/>
          <w:sz w:val="28"/>
          <w:szCs w:val="28"/>
        </w:rPr>
        <w:t xml:space="preserve"> </w:t>
      </w:r>
      <w:r w:rsidRPr="00681E2E">
        <w:rPr>
          <w:rFonts w:ascii="Cambria" w:hAnsi="Cambria" w:cstheme="minorHAnsi"/>
          <w:sz w:val="28"/>
          <w:szCs w:val="28"/>
        </w:rPr>
        <w:t xml:space="preserve">р., яка містить “Перелік актів законодавства ЄС у сфері фінансових послуг, які відповідно до Угоди про асоціацію між Україною та ЄС, інших міжнародно-правових зобов’язань України заплановано імплементувати в межах дорожньої карти реалізації Стратегії 2025”. </w:t>
      </w:r>
    </w:p>
    <w:p w14:paraId="3D49C31C" w14:textId="77777777" w:rsidR="00681E2E" w:rsidRDefault="00681E2E" w:rsidP="00624FC8">
      <w:pPr>
        <w:spacing w:after="0" w:line="240" w:lineRule="auto"/>
        <w:ind w:firstLine="709"/>
        <w:jc w:val="both"/>
        <w:rPr>
          <w:rFonts w:ascii="Cambria" w:hAnsi="Cambria" w:cstheme="minorHAnsi"/>
          <w:sz w:val="28"/>
          <w:szCs w:val="28"/>
        </w:rPr>
      </w:pPr>
      <w:r w:rsidRPr="00681E2E">
        <w:rPr>
          <w:rFonts w:ascii="Cambria" w:hAnsi="Cambria" w:cstheme="minorHAnsi"/>
          <w:sz w:val="28"/>
          <w:szCs w:val="28"/>
        </w:rPr>
        <w:t xml:space="preserve">Як відзначають експерти, сукупність цих актів може створити підгрунтя для отримання режиму доступу до внутрішнього ринку ЄС. У цьому контексті виникає нове завдання – як мінімум, ретельний перегляд складу усього Додатка XVII до Угоди, який має бути приведений у </w:t>
      </w:r>
      <w:r w:rsidRPr="00681E2E">
        <w:rPr>
          <w:rFonts w:ascii="Cambria" w:hAnsi="Cambria" w:cstheme="minorHAnsi"/>
          <w:sz w:val="28"/>
          <w:szCs w:val="28"/>
        </w:rPr>
        <w:lastRenderedPageBreak/>
        <w:t xml:space="preserve">відповідність до існуючих реалій правової системи ЄС. Як програма-максимум – проведення переговорів щодо можливого приєднання України до окремих механізмів, запроваджених у рамках Банківського союзу ЄС з оформленням такого приєднання у спосіб, подібний до того, який застосовується до країн-учасниць Європейської економічної зони (European Economic Area). </w:t>
      </w:r>
    </w:p>
    <w:p w14:paraId="340BC352" w14:textId="7F02D611" w:rsidR="00AD6111" w:rsidRDefault="00681E2E" w:rsidP="00681E2E">
      <w:pPr>
        <w:spacing w:after="0" w:line="240" w:lineRule="auto"/>
        <w:ind w:firstLine="709"/>
        <w:jc w:val="both"/>
        <w:rPr>
          <w:rFonts w:ascii="Cambria" w:hAnsi="Cambria" w:cstheme="minorHAnsi"/>
          <w:sz w:val="28"/>
          <w:szCs w:val="28"/>
        </w:rPr>
      </w:pPr>
      <w:r w:rsidRPr="00681E2E">
        <w:rPr>
          <w:rFonts w:ascii="Cambria" w:hAnsi="Cambria" w:cstheme="minorHAnsi"/>
          <w:sz w:val="28"/>
          <w:szCs w:val="28"/>
        </w:rPr>
        <w:t>Такий крок виглядає бажаним не лише в контексті завдань створення передумов для більш ефективної взаємодії України та ЄС у фінансовому секторі, але й з огляду на втілення в українську практику нових підходів до подальшого оздоровлення банківської системи та підвищення її спроможності фінансувати масштабні інвестиційні проекти та структурні перетворення в українській економіці.</w:t>
      </w:r>
    </w:p>
    <w:p w14:paraId="3751875C" w14:textId="77777777" w:rsidR="00681E2E" w:rsidRDefault="00681E2E" w:rsidP="00681E2E">
      <w:pPr>
        <w:spacing w:after="0" w:line="240" w:lineRule="auto"/>
        <w:ind w:firstLine="709"/>
        <w:jc w:val="both"/>
        <w:rPr>
          <w:rFonts w:ascii="Cambria" w:hAnsi="Cambria" w:cstheme="minorHAnsi"/>
          <w:sz w:val="28"/>
          <w:szCs w:val="28"/>
        </w:rPr>
      </w:pPr>
    </w:p>
    <w:p w14:paraId="4D6EA3FA" w14:textId="37B6D012" w:rsidR="00B6450A" w:rsidRPr="00B6450A" w:rsidRDefault="00B6450A" w:rsidP="00681E2E">
      <w:pPr>
        <w:spacing w:after="0" w:line="240" w:lineRule="auto"/>
        <w:ind w:firstLine="709"/>
        <w:jc w:val="both"/>
        <w:rPr>
          <w:rFonts w:ascii="Cambria" w:hAnsi="Cambria" w:cstheme="minorHAnsi"/>
          <w:b/>
          <w:bCs/>
          <w:sz w:val="28"/>
          <w:szCs w:val="28"/>
        </w:rPr>
      </w:pPr>
      <w:r w:rsidRPr="00B6450A">
        <w:rPr>
          <w:rFonts w:ascii="Cambria" w:hAnsi="Cambria" w:cstheme="minorHAnsi"/>
          <w:b/>
          <w:bCs/>
          <w:sz w:val="28"/>
          <w:szCs w:val="28"/>
        </w:rPr>
        <w:t>ПИТАННЯ 5.</w:t>
      </w:r>
    </w:p>
    <w:p w14:paraId="670DF9F1" w14:textId="6B4B030D" w:rsidR="00243D66" w:rsidRPr="00243D66" w:rsidRDefault="00243D66" w:rsidP="00681E2E">
      <w:pPr>
        <w:spacing w:after="0" w:line="240" w:lineRule="auto"/>
        <w:ind w:firstLine="709"/>
        <w:jc w:val="both"/>
        <w:rPr>
          <w:rFonts w:ascii="Cambria" w:hAnsi="Cambria" w:cstheme="minorHAnsi"/>
          <w:i/>
          <w:iCs/>
          <w:sz w:val="28"/>
          <w:szCs w:val="28"/>
        </w:rPr>
      </w:pPr>
      <w:r w:rsidRPr="00243D66">
        <w:rPr>
          <w:rFonts w:ascii="Cambria" w:hAnsi="Cambria" w:cstheme="minorHAnsi"/>
          <w:i/>
          <w:iCs/>
          <w:sz w:val="28"/>
          <w:szCs w:val="28"/>
        </w:rPr>
        <w:t>ЕКОЛОГІЧНИЙ ВИМІР ЄВРОІНТЕГРАЦІЇ</w:t>
      </w:r>
      <w:r>
        <w:rPr>
          <w:rFonts w:ascii="Cambria" w:hAnsi="Cambria" w:cstheme="minorHAnsi"/>
          <w:i/>
          <w:iCs/>
          <w:sz w:val="28"/>
          <w:szCs w:val="28"/>
        </w:rPr>
        <w:t>.</w:t>
      </w:r>
    </w:p>
    <w:p w14:paraId="2830D983" w14:textId="77777777" w:rsidR="00243D66" w:rsidRDefault="00243D66" w:rsidP="00681E2E">
      <w:pPr>
        <w:spacing w:after="0" w:line="240" w:lineRule="auto"/>
        <w:ind w:firstLine="709"/>
        <w:jc w:val="both"/>
        <w:rPr>
          <w:rFonts w:ascii="Cambria" w:hAnsi="Cambria" w:cstheme="minorHAnsi"/>
          <w:sz w:val="28"/>
          <w:szCs w:val="28"/>
        </w:rPr>
      </w:pPr>
      <w:r w:rsidRPr="00243D66">
        <w:rPr>
          <w:rFonts w:ascii="Cambria" w:hAnsi="Cambria" w:cstheme="minorHAnsi"/>
          <w:sz w:val="28"/>
          <w:szCs w:val="28"/>
        </w:rPr>
        <w:t>Дедалі більше країн приділяють увагу питанню захисту довкілля та поступовій екологізації усіх сфер економічної діяльності. Питання екологізації економіки набуває особливого значення й у контексті інтеграції української економіки до європейського простору, що формує нові підходи до організації екологічно орієнтованої співпраці. У рамках Угоди про асоціацію Україна має ряд зобов’язань у сфері екології та захисту довкілля, однак рівень виконання прописаних в Угоді завдань, за даними онлайн-системи моніторингу “Пульс Угоди”, за напрямом “Навколишнє природне середовище та цивільний захист” за шість місяців 2020</w:t>
      </w:r>
      <w:r>
        <w:rPr>
          <w:rFonts w:ascii="Cambria" w:hAnsi="Cambria" w:cstheme="minorHAnsi"/>
          <w:sz w:val="28"/>
          <w:szCs w:val="28"/>
        </w:rPr>
        <w:t xml:space="preserve"> </w:t>
      </w:r>
      <w:r w:rsidRPr="00243D66">
        <w:rPr>
          <w:rFonts w:ascii="Cambria" w:hAnsi="Cambria" w:cstheme="minorHAnsi"/>
          <w:sz w:val="28"/>
          <w:szCs w:val="28"/>
        </w:rPr>
        <w:t>р. склав лише 19% (у 2019</w:t>
      </w:r>
      <w:r>
        <w:rPr>
          <w:rFonts w:ascii="Cambria" w:hAnsi="Cambria" w:cstheme="minorHAnsi"/>
          <w:sz w:val="28"/>
          <w:szCs w:val="28"/>
        </w:rPr>
        <w:t xml:space="preserve"> </w:t>
      </w:r>
      <w:r w:rsidRPr="00243D66">
        <w:rPr>
          <w:rFonts w:ascii="Cambria" w:hAnsi="Cambria" w:cstheme="minorHAnsi"/>
          <w:sz w:val="28"/>
          <w:szCs w:val="28"/>
        </w:rPr>
        <w:t>р. – 28%, у 2018</w:t>
      </w:r>
      <w:r>
        <w:rPr>
          <w:rFonts w:ascii="Cambria" w:hAnsi="Cambria" w:cstheme="minorHAnsi"/>
          <w:sz w:val="28"/>
          <w:szCs w:val="28"/>
        </w:rPr>
        <w:t xml:space="preserve"> </w:t>
      </w:r>
      <w:r w:rsidRPr="00243D66">
        <w:rPr>
          <w:rFonts w:ascii="Cambria" w:hAnsi="Cambria" w:cstheme="minorHAnsi"/>
          <w:sz w:val="28"/>
          <w:szCs w:val="28"/>
        </w:rPr>
        <w:t>р. – 50%, у 2017</w:t>
      </w:r>
      <w:r>
        <w:rPr>
          <w:rFonts w:ascii="Cambria" w:hAnsi="Cambria" w:cstheme="minorHAnsi"/>
          <w:sz w:val="28"/>
          <w:szCs w:val="28"/>
        </w:rPr>
        <w:t xml:space="preserve"> </w:t>
      </w:r>
      <w:r w:rsidRPr="00243D66">
        <w:rPr>
          <w:rFonts w:ascii="Cambria" w:hAnsi="Cambria" w:cstheme="minorHAnsi"/>
          <w:sz w:val="28"/>
          <w:szCs w:val="28"/>
        </w:rPr>
        <w:t>р. – 72%, у 2016</w:t>
      </w:r>
      <w:r>
        <w:rPr>
          <w:rFonts w:ascii="Cambria" w:hAnsi="Cambria" w:cstheme="minorHAnsi"/>
          <w:sz w:val="28"/>
          <w:szCs w:val="28"/>
        </w:rPr>
        <w:t xml:space="preserve"> </w:t>
      </w:r>
      <w:r w:rsidRPr="00243D66">
        <w:rPr>
          <w:rFonts w:ascii="Cambria" w:hAnsi="Cambria" w:cstheme="minorHAnsi"/>
          <w:sz w:val="28"/>
          <w:szCs w:val="28"/>
        </w:rPr>
        <w:t>р. – 53%). Сфери, що мають найнижчий рівень виконання, – регулювання</w:t>
      </w:r>
      <w:r>
        <w:rPr>
          <w:rFonts w:ascii="Cambria" w:hAnsi="Cambria" w:cstheme="minorHAnsi"/>
          <w:sz w:val="28"/>
          <w:szCs w:val="28"/>
        </w:rPr>
        <w:t xml:space="preserve"> </w:t>
      </w:r>
      <w:r w:rsidRPr="00243D66">
        <w:rPr>
          <w:rFonts w:ascii="Cambria" w:hAnsi="Cambria" w:cstheme="minorHAnsi"/>
          <w:sz w:val="28"/>
          <w:szCs w:val="28"/>
        </w:rPr>
        <w:t xml:space="preserve">атмосферного повітря. Екологізація законодавства в рамках Угоди про асоціацію Відправною точкою є екологізація законодавчого забезпечення – формування законодавчої та нормативно-правової бази, яка сприяє вирішенню екологічних проблем та враховує екологічні наслідки для держави та населення після ухвалення та введення у дію відповідних документів. </w:t>
      </w:r>
    </w:p>
    <w:p w14:paraId="4A31E65F" w14:textId="77777777" w:rsidR="00243D66" w:rsidRDefault="00243D66" w:rsidP="00681E2E">
      <w:pPr>
        <w:spacing w:after="0" w:line="240" w:lineRule="auto"/>
        <w:ind w:firstLine="709"/>
        <w:jc w:val="both"/>
        <w:rPr>
          <w:rFonts w:ascii="Cambria" w:hAnsi="Cambria" w:cstheme="minorHAnsi"/>
          <w:sz w:val="28"/>
          <w:szCs w:val="28"/>
        </w:rPr>
      </w:pPr>
      <w:r w:rsidRPr="00243D66">
        <w:rPr>
          <w:rFonts w:ascii="Cambria" w:hAnsi="Cambria" w:cstheme="minorHAnsi"/>
          <w:sz w:val="28"/>
          <w:szCs w:val="28"/>
        </w:rPr>
        <w:t xml:space="preserve">З урахуванням вимог Угоди протягом останніх кількох років в Україні відбулась активізація дій та прийнято ряд законодавчих актів: </w:t>
      </w:r>
    </w:p>
    <w:p w14:paraId="46D509F6" w14:textId="77777777" w:rsidR="00243D66" w:rsidRDefault="00243D66" w:rsidP="00243D66">
      <w:pPr>
        <w:pStyle w:val="a9"/>
        <w:numPr>
          <w:ilvl w:val="0"/>
          <w:numId w:val="6"/>
        </w:numPr>
        <w:spacing w:after="0" w:line="240" w:lineRule="auto"/>
        <w:ind w:left="0" w:firstLine="709"/>
        <w:jc w:val="both"/>
        <w:rPr>
          <w:rFonts w:ascii="Cambria" w:hAnsi="Cambria" w:cstheme="minorHAnsi"/>
          <w:sz w:val="28"/>
          <w:szCs w:val="28"/>
        </w:rPr>
      </w:pPr>
      <w:r w:rsidRPr="00243D66">
        <w:rPr>
          <w:rFonts w:ascii="Cambria" w:hAnsi="Cambria" w:cstheme="minorHAnsi"/>
          <w:sz w:val="28"/>
          <w:szCs w:val="28"/>
        </w:rPr>
        <w:t>Закон “Про внесення змін до деяких законодавчих актів України щодо впровадження інтегрованих підходів в управлінні водними ресурсами за басейновим принципом”, від 4 жовтня 2016р., яким запроваджуються правові засади інтегрованого управління водними ресурсами за басейновим принципом відповідно до Водної рамкової Директиви №2000/60/ЄС;</w:t>
      </w:r>
    </w:p>
    <w:p w14:paraId="303295F5" w14:textId="210FB17C" w:rsidR="00243D66" w:rsidRDefault="00243D66" w:rsidP="00243D66">
      <w:pPr>
        <w:pStyle w:val="a9"/>
        <w:numPr>
          <w:ilvl w:val="0"/>
          <w:numId w:val="6"/>
        </w:numPr>
        <w:spacing w:after="0" w:line="240" w:lineRule="auto"/>
        <w:ind w:left="0" w:firstLine="709"/>
        <w:jc w:val="both"/>
        <w:rPr>
          <w:rFonts w:ascii="Cambria" w:hAnsi="Cambria" w:cstheme="minorHAnsi"/>
          <w:sz w:val="28"/>
          <w:szCs w:val="28"/>
        </w:rPr>
      </w:pPr>
      <w:r w:rsidRPr="00243D66">
        <w:rPr>
          <w:rFonts w:ascii="Cambria" w:hAnsi="Cambria" w:cstheme="minorHAnsi"/>
          <w:sz w:val="28"/>
          <w:szCs w:val="28"/>
        </w:rPr>
        <w:t>Закон “Про оцінку впливу на довкілля” від 23 травня 2017</w:t>
      </w:r>
      <w:r>
        <w:rPr>
          <w:rFonts w:ascii="Cambria" w:hAnsi="Cambria" w:cstheme="minorHAnsi"/>
          <w:sz w:val="28"/>
          <w:szCs w:val="28"/>
        </w:rPr>
        <w:t xml:space="preserve"> </w:t>
      </w:r>
      <w:r w:rsidRPr="00243D66">
        <w:rPr>
          <w:rFonts w:ascii="Cambria" w:hAnsi="Cambria" w:cstheme="minorHAnsi"/>
          <w:sz w:val="28"/>
          <w:szCs w:val="28"/>
        </w:rPr>
        <w:t>р., яким враховуються вимоги Директиви №2011/92/ЄС про оцінку впливу окремих державних і приватних проектів на довкілля;</w:t>
      </w:r>
    </w:p>
    <w:p w14:paraId="2D13AC9A" w14:textId="77777777" w:rsidR="00243D66" w:rsidRDefault="00243D66" w:rsidP="00243D66">
      <w:pPr>
        <w:pStyle w:val="a9"/>
        <w:numPr>
          <w:ilvl w:val="0"/>
          <w:numId w:val="6"/>
        </w:numPr>
        <w:spacing w:after="0" w:line="240" w:lineRule="auto"/>
        <w:ind w:left="0" w:firstLine="709"/>
        <w:jc w:val="both"/>
        <w:rPr>
          <w:rFonts w:ascii="Cambria" w:hAnsi="Cambria" w:cstheme="minorHAnsi"/>
          <w:sz w:val="28"/>
          <w:szCs w:val="28"/>
        </w:rPr>
      </w:pPr>
      <w:r w:rsidRPr="00243D66">
        <w:rPr>
          <w:rFonts w:ascii="Cambria" w:hAnsi="Cambria" w:cstheme="minorHAnsi"/>
          <w:sz w:val="28"/>
          <w:szCs w:val="28"/>
        </w:rPr>
        <w:t>Закон “Про стратегічну екологічну оцінку” від 20 березня 2018</w:t>
      </w:r>
      <w:r>
        <w:rPr>
          <w:rFonts w:ascii="Cambria" w:hAnsi="Cambria" w:cstheme="minorHAnsi"/>
          <w:sz w:val="28"/>
          <w:szCs w:val="28"/>
        </w:rPr>
        <w:t xml:space="preserve"> </w:t>
      </w:r>
      <w:r w:rsidRPr="00243D66">
        <w:rPr>
          <w:rFonts w:ascii="Cambria" w:hAnsi="Cambria" w:cstheme="minorHAnsi"/>
          <w:sz w:val="28"/>
          <w:szCs w:val="28"/>
        </w:rPr>
        <w:t xml:space="preserve">р., яким імплементуються вимоги Директиви №2001/42/ЄС про оцінку </w:t>
      </w:r>
      <w:r w:rsidRPr="00243D66">
        <w:rPr>
          <w:rFonts w:ascii="Cambria" w:hAnsi="Cambria" w:cstheme="minorHAnsi"/>
          <w:sz w:val="28"/>
          <w:szCs w:val="28"/>
        </w:rPr>
        <w:lastRenderedPageBreak/>
        <w:t>впливу на стан довкілля окремих проектів і програм; №2000/60/ЄС (з 1 січня 2019</w:t>
      </w:r>
      <w:r>
        <w:rPr>
          <w:rFonts w:ascii="Cambria" w:hAnsi="Cambria" w:cstheme="minorHAnsi"/>
          <w:sz w:val="28"/>
          <w:szCs w:val="28"/>
        </w:rPr>
        <w:t xml:space="preserve"> </w:t>
      </w:r>
      <w:r w:rsidRPr="00243D66">
        <w:rPr>
          <w:rFonts w:ascii="Cambria" w:hAnsi="Cambria" w:cstheme="minorHAnsi"/>
          <w:sz w:val="28"/>
          <w:szCs w:val="28"/>
        </w:rPr>
        <w:t xml:space="preserve">р. діють стандарти ЄС щодо моніторингу води) та інші. </w:t>
      </w:r>
    </w:p>
    <w:p w14:paraId="3461AD4C" w14:textId="77777777" w:rsidR="008A22EC" w:rsidRDefault="00243D66" w:rsidP="008A22EC">
      <w:pPr>
        <w:pStyle w:val="a9"/>
        <w:numPr>
          <w:ilvl w:val="0"/>
          <w:numId w:val="6"/>
        </w:numPr>
        <w:spacing w:after="0" w:line="240" w:lineRule="auto"/>
        <w:ind w:left="0" w:firstLine="709"/>
        <w:jc w:val="both"/>
        <w:rPr>
          <w:rFonts w:ascii="Cambria" w:hAnsi="Cambria" w:cstheme="minorHAnsi"/>
          <w:sz w:val="28"/>
          <w:szCs w:val="28"/>
        </w:rPr>
      </w:pPr>
      <w:r w:rsidRPr="008A22EC">
        <w:rPr>
          <w:rFonts w:ascii="Cambria" w:hAnsi="Cambria" w:cstheme="minorHAnsi"/>
          <w:sz w:val="28"/>
          <w:szCs w:val="28"/>
        </w:rPr>
        <w:t>Закон “Про Основні засади (стратегію) державної екологічної політики України на період до 2030 року” від 28 лютого 2019</w:t>
      </w:r>
      <w:r w:rsidR="008A22EC">
        <w:rPr>
          <w:rFonts w:ascii="Cambria" w:hAnsi="Cambria" w:cstheme="minorHAnsi"/>
          <w:sz w:val="28"/>
          <w:szCs w:val="28"/>
        </w:rPr>
        <w:t xml:space="preserve"> </w:t>
      </w:r>
      <w:r w:rsidRPr="008A22EC">
        <w:rPr>
          <w:rFonts w:ascii="Cambria" w:hAnsi="Cambria" w:cstheme="minorHAnsi"/>
          <w:sz w:val="28"/>
          <w:szCs w:val="28"/>
        </w:rPr>
        <w:t>р., яким визначаються основні стратегічні цілі екологічної політики держави з урахуванням вимог Угоди, етапи її реалізації та очікувані результати;</w:t>
      </w:r>
    </w:p>
    <w:p w14:paraId="0F64311E" w14:textId="3C4FC88B" w:rsidR="008A22EC" w:rsidRDefault="00243D66" w:rsidP="008A22EC">
      <w:pPr>
        <w:pStyle w:val="a9"/>
        <w:numPr>
          <w:ilvl w:val="0"/>
          <w:numId w:val="6"/>
        </w:numPr>
        <w:spacing w:after="0" w:line="240" w:lineRule="auto"/>
        <w:ind w:left="0" w:firstLine="709"/>
        <w:jc w:val="both"/>
        <w:rPr>
          <w:rFonts w:ascii="Cambria" w:hAnsi="Cambria" w:cstheme="minorHAnsi"/>
          <w:sz w:val="28"/>
          <w:szCs w:val="28"/>
        </w:rPr>
      </w:pPr>
      <w:r w:rsidRPr="008A22EC">
        <w:rPr>
          <w:rFonts w:ascii="Cambria" w:hAnsi="Cambria" w:cstheme="minorHAnsi"/>
          <w:sz w:val="28"/>
          <w:szCs w:val="28"/>
        </w:rPr>
        <w:t>Закон “Про моніторинг, звітність та верифікацію парникових газів” від 19 грудня 2019р., розроблений з метою імплементації окремих положень Директиви №2003/87/ЄС про встановлення схеми торгівлі викидами парникови</w:t>
      </w:r>
      <w:r w:rsidR="008A22EC">
        <w:rPr>
          <w:rFonts w:ascii="Cambria" w:hAnsi="Cambria" w:cstheme="minorHAnsi"/>
          <w:sz w:val="28"/>
          <w:szCs w:val="28"/>
        </w:rPr>
        <w:t>х</w:t>
      </w:r>
      <w:r w:rsidRPr="008A22EC">
        <w:rPr>
          <w:rFonts w:ascii="Cambria" w:hAnsi="Cambria" w:cstheme="minorHAnsi"/>
          <w:sz w:val="28"/>
          <w:szCs w:val="28"/>
        </w:rPr>
        <w:t xml:space="preserve"> газів;</w:t>
      </w:r>
    </w:p>
    <w:p w14:paraId="567BF47F" w14:textId="77777777" w:rsidR="008A22EC" w:rsidRDefault="00243D66" w:rsidP="008A22EC">
      <w:pPr>
        <w:pStyle w:val="a9"/>
        <w:numPr>
          <w:ilvl w:val="0"/>
          <w:numId w:val="6"/>
        </w:numPr>
        <w:spacing w:after="0" w:line="240" w:lineRule="auto"/>
        <w:ind w:left="0" w:firstLine="709"/>
        <w:jc w:val="both"/>
        <w:rPr>
          <w:rFonts w:ascii="Cambria" w:hAnsi="Cambria" w:cstheme="minorHAnsi"/>
          <w:sz w:val="28"/>
          <w:szCs w:val="28"/>
        </w:rPr>
      </w:pPr>
      <w:r w:rsidRPr="008A22EC">
        <w:rPr>
          <w:rFonts w:ascii="Cambria" w:hAnsi="Cambria" w:cstheme="minorHAnsi"/>
          <w:sz w:val="28"/>
          <w:szCs w:val="28"/>
        </w:rPr>
        <w:t>Закон “Про регулювання господарської діяльності з озоноруйнівними речовинами та фторованими парниковими газами” від 12 грудня 2019р.;</w:t>
      </w:r>
    </w:p>
    <w:p w14:paraId="21276F01" w14:textId="5AA57C3B" w:rsidR="00B6450A" w:rsidRPr="008A22EC" w:rsidRDefault="00243D66" w:rsidP="008A22EC">
      <w:pPr>
        <w:pStyle w:val="a9"/>
        <w:numPr>
          <w:ilvl w:val="0"/>
          <w:numId w:val="6"/>
        </w:numPr>
        <w:spacing w:after="0" w:line="240" w:lineRule="auto"/>
        <w:ind w:left="0" w:firstLine="709"/>
        <w:jc w:val="both"/>
        <w:rPr>
          <w:rFonts w:ascii="Cambria" w:hAnsi="Cambria" w:cstheme="minorHAnsi"/>
          <w:sz w:val="28"/>
          <w:szCs w:val="28"/>
        </w:rPr>
      </w:pPr>
      <w:r w:rsidRPr="008A22EC">
        <w:rPr>
          <w:rFonts w:ascii="Cambria" w:hAnsi="Cambria" w:cstheme="minorHAnsi"/>
          <w:sz w:val="28"/>
          <w:szCs w:val="28"/>
        </w:rPr>
        <w:t>Постанова КМУ “Про затвердження Порядку здійснення державного моніторингу вод” №758 від 19 вересня 2018</w:t>
      </w:r>
      <w:r w:rsidR="008A22EC">
        <w:rPr>
          <w:rFonts w:ascii="Cambria" w:hAnsi="Cambria" w:cstheme="minorHAnsi"/>
          <w:sz w:val="28"/>
          <w:szCs w:val="28"/>
        </w:rPr>
        <w:t xml:space="preserve"> </w:t>
      </w:r>
      <w:r w:rsidRPr="008A22EC">
        <w:rPr>
          <w:rFonts w:ascii="Cambria" w:hAnsi="Cambria" w:cstheme="minorHAnsi"/>
          <w:sz w:val="28"/>
          <w:szCs w:val="28"/>
        </w:rPr>
        <w:t>р. з метою імплементації окремих положень Водної Рамкової Директиви Також було схвалено Концепцію реалізації державної політики у сфері промислового забруднення (Розпорядження КМУ №402 від 22 травня 2019</w:t>
      </w:r>
      <w:r w:rsidR="008A22EC">
        <w:rPr>
          <w:rFonts w:ascii="Cambria" w:hAnsi="Cambria" w:cstheme="minorHAnsi"/>
          <w:sz w:val="28"/>
          <w:szCs w:val="28"/>
        </w:rPr>
        <w:t xml:space="preserve"> </w:t>
      </w:r>
      <w:r w:rsidRPr="008A22EC">
        <w:rPr>
          <w:rFonts w:ascii="Cambria" w:hAnsi="Cambria" w:cstheme="minorHAnsi"/>
          <w:sz w:val="28"/>
          <w:szCs w:val="28"/>
        </w:rPr>
        <w:t>р.), якою можуть бути імплементовані поло- ження Директиви №2010/75/ЄС про промислові викиди (інтегрований підхід до запобігання забрудненню та його контролю) від 24 листопада 2010</w:t>
      </w:r>
      <w:r w:rsidR="008A22EC">
        <w:rPr>
          <w:rFonts w:ascii="Cambria" w:hAnsi="Cambria" w:cstheme="minorHAnsi"/>
          <w:sz w:val="28"/>
          <w:szCs w:val="28"/>
        </w:rPr>
        <w:t xml:space="preserve"> </w:t>
      </w:r>
      <w:r w:rsidRPr="008A22EC">
        <w:rPr>
          <w:rFonts w:ascii="Cambria" w:hAnsi="Cambria" w:cstheme="minorHAnsi"/>
          <w:sz w:val="28"/>
          <w:szCs w:val="28"/>
        </w:rPr>
        <w:t>р., що дозволить здійснювати контроль за викидами у повітря, воду та грунт, використовувати суб’єктами господарювання “чисті” технології та методи управління.</w:t>
      </w:r>
    </w:p>
    <w:p w14:paraId="46BC09A0" w14:textId="77777777" w:rsidR="008A22EC" w:rsidRDefault="008A22EC" w:rsidP="008A22EC">
      <w:pPr>
        <w:spacing w:after="0" w:line="240" w:lineRule="auto"/>
        <w:ind w:firstLine="709"/>
        <w:jc w:val="both"/>
        <w:rPr>
          <w:rFonts w:ascii="Cambria" w:hAnsi="Cambria" w:cstheme="minorHAnsi"/>
          <w:sz w:val="28"/>
          <w:szCs w:val="28"/>
        </w:rPr>
      </w:pPr>
      <w:r w:rsidRPr="008A22EC">
        <w:rPr>
          <w:rFonts w:ascii="Cambria" w:hAnsi="Cambria" w:cstheme="minorHAnsi"/>
          <w:sz w:val="28"/>
          <w:szCs w:val="28"/>
        </w:rPr>
        <w:t xml:space="preserve">Заснована на принципах екологічної стійкості та відповідальності перед майбутніми поколіннями, набуває популярності циркулярна економіка, яка приходить на зміну традиційної “лінійної” економіки. У рамках Угоди Україна взяла зобов’я зання щодо гармонізації національного законодавства з європейським у напрямі циркулярної економіки. Це сприяло ухваленню 8 листопада 2017 р. Національної стратегії поводження з відходами в Україні до 2030 р. А 20 лютого 2019 р. Уряд затвердив Національний план поводження з відходами, яким визначено практичні заходи, які відповідають стандартам ЄС. </w:t>
      </w:r>
    </w:p>
    <w:p w14:paraId="6233AE2E" w14:textId="28EA7CA2" w:rsidR="00AD6111" w:rsidRDefault="008A22EC" w:rsidP="008A22EC">
      <w:pPr>
        <w:spacing w:after="0" w:line="240" w:lineRule="auto"/>
        <w:ind w:firstLine="709"/>
        <w:jc w:val="both"/>
        <w:rPr>
          <w:rFonts w:ascii="Cambria" w:hAnsi="Cambria" w:cstheme="minorHAnsi"/>
          <w:sz w:val="28"/>
          <w:szCs w:val="28"/>
        </w:rPr>
      </w:pPr>
      <w:r w:rsidRPr="008A22EC">
        <w:rPr>
          <w:rFonts w:ascii="Cambria" w:hAnsi="Cambria" w:cstheme="minorHAnsi"/>
          <w:sz w:val="28"/>
          <w:szCs w:val="28"/>
        </w:rPr>
        <w:t>У презентованому 21 січня 2020 р. проекті Концепції “зеленого” енергетичного пере ходу України до 2050 р., перехід до циркулярної економіки та зменшення відходів, їх раціональне використання – один з головних індикаторів. Украй важливим у цьому напрямі стало прийняття у першому читанні проекту Закону “Про управління відходами” від 21 липня 2020 р. Його подальше ухвалення є актуальним зважаючи на зобов’я зання України впровадити положення Директиви №2008/98/ЄС Європарламенту та Європейської ради від 19 листопада 2008 р. “Про відходи та скасування деяких директив” до національного законодавства.</w:t>
      </w:r>
    </w:p>
    <w:p w14:paraId="00E7BC05" w14:textId="180A63FE" w:rsidR="008A22EC" w:rsidRDefault="008A22EC" w:rsidP="008A22EC">
      <w:pPr>
        <w:spacing w:after="0" w:line="240" w:lineRule="auto"/>
        <w:ind w:firstLine="709"/>
        <w:jc w:val="both"/>
        <w:rPr>
          <w:rFonts w:ascii="Cambria" w:hAnsi="Cambria" w:cstheme="minorHAnsi"/>
          <w:sz w:val="28"/>
          <w:szCs w:val="28"/>
        </w:rPr>
      </w:pPr>
      <w:r w:rsidRPr="008A22EC">
        <w:rPr>
          <w:rFonts w:ascii="Cambria" w:hAnsi="Cambria" w:cstheme="minorHAnsi"/>
          <w:sz w:val="28"/>
          <w:szCs w:val="28"/>
        </w:rPr>
        <w:t>Також було схвалено Концепцію реалізації державної політики у сфері промислового забруднення (Розпорядження КМУ №402 від 22 травня 2019</w:t>
      </w:r>
      <w:r>
        <w:rPr>
          <w:rFonts w:ascii="Cambria" w:hAnsi="Cambria" w:cstheme="minorHAnsi"/>
          <w:sz w:val="28"/>
          <w:szCs w:val="28"/>
        </w:rPr>
        <w:t xml:space="preserve"> </w:t>
      </w:r>
      <w:r w:rsidRPr="008A22EC">
        <w:rPr>
          <w:rFonts w:ascii="Cambria" w:hAnsi="Cambria" w:cstheme="minorHAnsi"/>
          <w:sz w:val="28"/>
          <w:szCs w:val="28"/>
        </w:rPr>
        <w:t xml:space="preserve">р.), якою можуть бути імплементовані поло- ження Директиви №2010/75/ЄС про промислові викиди (інтегрований підхід до запобігання </w:t>
      </w:r>
      <w:r w:rsidRPr="008A22EC">
        <w:rPr>
          <w:rFonts w:ascii="Cambria" w:hAnsi="Cambria" w:cstheme="minorHAnsi"/>
          <w:sz w:val="28"/>
          <w:szCs w:val="28"/>
        </w:rPr>
        <w:lastRenderedPageBreak/>
        <w:t>забрудненню та його контролю) від 24 листопада 2010</w:t>
      </w:r>
      <w:r>
        <w:rPr>
          <w:rFonts w:ascii="Cambria" w:hAnsi="Cambria" w:cstheme="minorHAnsi"/>
          <w:sz w:val="28"/>
          <w:szCs w:val="28"/>
        </w:rPr>
        <w:t xml:space="preserve"> </w:t>
      </w:r>
      <w:r w:rsidRPr="008A22EC">
        <w:rPr>
          <w:rFonts w:ascii="Cambria" w:hAnsi="Cambria" w:cstheme="minorHAnsi"/>
          <w:sz w:val="28"/>
          <w:szCs w:val="28"/>
        </w:rPr>
        <w:t>р., що дозволить здійснювати контроль за викидами у повітря, воду та грунт, використовувати суб’єктами господарювання “чисті” технології та методи управління.</w:t>
      </w:r>
    </w:p>
    <w:p w14:paraId="0FDAA8B2" w14:textId="77777777" w:rsidR="008A22EC" w:rsidRPr="008A22EC" w:rsidRDefault="008A22EC" w:rsidP="008A22EC">
      <w:pPr>
        <w:spacing w:after="0" w:line="240" w:lineRule="auto"/>
        <w:ind w:firstLine="709"/>
        <w:jc w:val="both"/>
        <w:rPr>
          <w:rFonts w:ascii="Cambria" w:hAnsi="Cambria" w:cstheme="minorHAnsi"/>
          <w:i/>
          <w:iCs/>
          <w:sz w:val="28"/>
          <w:szCs w:val="28"/>
        </w:rPr>
      </w:pPr>
      <w:r w:rsidRPr="008A22EC">
        <w:rPr>
          <w:rFonts w:ascii="Cambria" w:hAnsi="Cambria" w:cstheme="minorHAnsi"/>
          <w:i/>
          <w:iCs/>
          <w:sz w:val="28"/>
          <w:szCs w:val="28"/>
        </w:rPr>
        <w:t>Європейський “зелений” курс та виклики для України</w:t>
      </w:r>
      <w:r w:rsidRPr="008A22EC">
        <w:rPr>
          <w:rFonts w:ascii="Cambria" w:hAnsi="Cambria" w:cstheme="minorHAnsi"/>
          <w:i/>
          <w:iCs/>
          <w:sz w:val="28"/>
          <w:szCs w:val="28"/>
        </w:rPr>
        <w:t>.</w:t>
      </w:r>
    </w:p>
    <w:p w14:paraId="30094FA4" w14:textId="5286807E" w:rsidR="008A22EC" w:rsidRDefault="008A22EC" w:rsidP="008A22EC">
      <w:pPr>
        <w:spacing w:after="0" w:line="240" w:lineRule="auto"/>
        <w:ind w:firstLine="709"/>
        <w:jc w:val="both"/>
        <w:rPr>
          <w:rFonts w:ascii="Cambria" w:hAnsi="Cambria" w:cstheme="minorHAnsi"/>
          <w:sz w:val="28"/>
          <w:szCs w:val="28"/>
        </w:rPr>
      </w:pPr>
      <w:r w:rsidRPr="008A22EC">
        <w:rPr>
          <w:rFonts w:ascii="Cambria" w:hAnsi="Cambria" w:cstheme="minorHAnsi"/>
          <w:sz w:val="28"/>
          <w:szCs w:val="28"/>
        </w:rPr>
        <w:t>Ініціатива, яка закликає до рішучих і комплексних дій у напрямі захисту довкілля та боротьби зі зміною клімату – Європейська зелена угода (European Green Deal) – є пріоритетом, яким сьогодні визначається стратегія на найближчі десятиліття не лише ЄС, але й сусідніх країн. Зважаючи на заяви представників виконавчої та законодавчої влади, Україна має намір долучитися до ініціативи та стати партнером ЄС у</w:t>
      </w:r>
      <w:r>
        <w:rPr>
          <w:rFonts w:ascii="Cambria" w:hAnsi="Cambria" w:cstheme="minorHAnsi"/>
          <w:sz w:val="28"/>
          <w:szCs w:val="28"/>
        </w:rPr>
        <w:t xml:space="preserve"> </w:t>
      </w:r>
      <w:r w:rsidRPr="008A22EC">
        <w:rPr>
          <w:rFonts w:ascii="Cambria" w:hAnsi="Cambria" w:cstheme="minorHAnsi"/>
          <w:sz w:val="28"/>
          <w:szCs w:val="28"/>
        </w:rPr>
        <w:t xml:space="preserve">досягненні її цілей. </w:t>
      </w:r>
    </w:p>
    <w:p w14:paraId="2D605760" w14:textId="51F9DA57" w:rsidR="002457CF" w:rsidRDefault="008A22EC" w:rsidP="008A22EC">
      <w:pPr>
        <w:spacing w:after="0" w:line="240" w:lineRule="auto"/>
        <w:ind w:firstLine="709"/>
        <w:jc w:val="both"/>
        <w:rPr>
          <w:rFonts w:ascii="Cambria" w:hAnsi="Cambria" w:cstheme="minorHAnsi"/>
          <w:sz w:val="28"/>
          <w:szCs w:val="28"/>
        </w:rPr>
      </w:pPr>
      <w:r w:rsidRPr="008A22EC">
        <w:rPr>
          <w:rFonts w:ascii="Cambria" w:hAnsi="Cambria" w:cstheme="minorHAnsi"/>
          <w:sz w:val="28"/>
          <w:szCs w:val="28"/>
        </w:rPr>
        <w:t>Так, було розроблено Концепцію “зеленого” енергетичного переходу України до 2050р. (“Ukraine Green Deal”), ціллю якої є зменшення обсягу викидів парникових газів (ПГ) в обсягах, що зможуть забезпечити перехід України до кліматично нейтральної економіки у 2070</w:t>
      </w:r>
      <w:r>
        <w:rPr>
          <w:rFonts w:ascii="Cambria" w:hAnsi="Cambria" w:cstheme="minorHAnsi"/>
          <w:sz w:val="28"/>
          <w:szCs w:val="28"/>
        </w:rPr>
        <w:t xml:space="preserve"> </w:t>
      </w:r>
      <w:r w:rsidRPr="008A22EC">
        <w:rPr>
          <w:rFonts w:ascii="Cambria" w:hAnsi="Cambria" w:cstheme="minorHAnsi"/>
          <w:sz w:val="28"/>
          <w:szCs w:val="28"/>
        </w:rPr>
        <w:t>р. у соціально прийнятний спосіб. Постановою КМУ від 24 січня 2020</w:t>
      </w:r>
      <w:r>
        <w:rPr>
          <w:rFonts w:ascii="Cambria" w:hAnsi="Cambria" w:cstheme="minorHAnsi"/>
          <w:sz w:val="28"/>
          <w:szCs w:val="28"/>
        </w:rPr>
        <w:t xml:space="preserve"> </w:t>
      </w:r>
      <w:r w:rsidRPr="008A22EC">
        <w:rPr>
          <w:rFonts w:ascii="Cambria" w:hAnsi="Cambria" w:cstheme="minorHAnsi"/>
          <w:sz w:val="28"/>
          <w:szCs w:val="28"/>
        </w:rPr>
        <w:t xml:space="preserve">р. було утворено Міжвідомчу робочу групу з питань координації подолання наслідків зміни клімату в рамках ініціативи Єврокомісії “Європейський зелений курс”. ЄС визначив Україну пріоритетним партнером у реалізації Європейської водневої стратегії (EU Hydrogen Strategy) та постачанні водню на європейський ринок (ЄС підтвердив готовність фінансово сприяти створенню внутрішнього ринку водню в Україні). </w:t>
      </w:r>
    </w:p>
    <w:p w14:paraId="2009FA29" w14:textId="77777777" w:rsidR="002457CF" w:rsidRDefault="008A22EC" w:rsidP="008A22EC">
      <w:pPr>
        <w:spacing w:after="0" w:line="240" w:lineRule="auto"/>
        <w:ind w:firstLine="709"/>
        <w:jc w:val="both"/>
        <w:rPr>
          <w:rFonts w:ascii="Cambria" w:hAnsi="Cambria" w:cstheme="minorHAnsi"/>
          <w:sz w:val="28"/>
          <w:szCs w:val="28"/>
        </w:rPr>
      </w:pPr>
      <w:r w:rsidRPr="008A22EC">
        <w:rPr>
          <w:rFonts w:ascii="Cambria" w:hAnsi="Cambria" w:cstheme="minorHAnsi"/>
          <w:sz w:val="28"/>
          <w:szCs w:val="28"/>
        </w:rPr>
        <w:t>До 2030</w:t>
      </w:r>
      <w:r w:rsidR="002457CF">
        <w:rPr>
          <w:rFonts w:ascii="Cambria" w:hAnsi="Cambria" w:cstheme="minorHAnsi"/>
          <w:sz w:val="28"/>
          <w:szCs w:val="28"/>
        </w:rPr>
        <w:t xml:space="preserve"> </w:t>
      </w:r>
      <w:r w:rsidRPr="008A22EC">
        <w:rPr>
          <w:rFonts w:ascii="Cambria" w:hAnsi="Cambria" w:cstheme="minorHAnsi"/>
          <w:sz w:val="28"/>
          <w:szCs w:val="28"/>
        </w:rPr>
        <w:t xml:space="preserve">р. Україна може забезпечувати до 10 ГВт потужностей водню (з 40 ГВт потужностей визначених Стратегією) методом електролізу і стати головним його виробником на європейському континенті. Однак, необхідно зважати на два аспекти: наявність інфраструктури та питання безпеки. Стосовно транспортування газової суміші з вмістом водню, то українська ГТС може бути використана на 25%, питання ж безпеки під час транспортування залишається відкритим: водень є вкрай вибухонебезпечним газом. Також отримання водню без викидів ПГ є дорогим. “Зелений” водень, під час використання відновлювальних джерел енергії (ВДЕ) для електролізу, становить лише 4% світового виробництва, решта надходить від природного газу (48%), нафти (30%) та вугілля (18%), проте міг би допомогти вирішити проблему профіциту електроенергії в Україні. </w:t>
      </w:r>
    </w:p>
    <w:p w14:paraId="530B54E4" w14:textId="27B9E06B" w:rsidR="002457CF" w:rsidRDefault="008A22EC" w:rsidP="008A22EC">
      <w:pPr>
        <w:spacing w:after="0" w:line="240" w:lineRule="auto"/>
        <w:ind w:firstLine="709"/>
        <w:jc w:val="both"/>
        <w:rPr>
          <w:rFonts w:ascii="Cambria" w:hAnsi="Cambria" w:cstheme="minorHAnsi"/>
          <w:sz w:val="28"/>
          <w:szCs w:val="28"/>
        </w:rPr>
      </w:pPr>
      <w:r w:rsidRPr="008A22EC">
        <w:rPr>
          <w:rFonts w:ascii="Cambria" w:hAnsi="Cambria" w:cstheme="minorHAnsi"/>
          <w:sz w:val="28"/>
          <w:szCs w:val="28"/>
        </w:rPr>
        <w:t>Вирішальне значення матиме ціна електролізерів: за прогнозами Міжнародного енергетичного агентства, їх вартість скоротиться удвічі до 2040р.81 З метою уникнення “екологічного демпінгу” у процесі лібералізації торгівлі, ЄС у рамках Зеленої угоди запроваджує механізм прикордонного вуглецевого регулювання (Carcon border adjustment mechanism), який застосовуватиметься до імпорту певних енерго- та вуглецеємних товарів, що надходитимуть з-за меж ЄС. Для України такий механізм може стати перешкодою на шляху до подальшого нарощення обсягів експорту та його диверсифікації на європейському напрямку. Сам механізм має стимулювати виробництва знижувати викиди СО</w:t>
      </w:r>
      <w:r w:rsidRPr="002457CF">
        <w:rPr>
          <w:rFonts w:ascii="Cambria" w:hAnsi="Cambria" w:cstheme="minorHAnsi"/>
          <w:sz w:val="28"/>
          <w:szCs w:val="28"/>
          <w:vertAlign w:val="superscript"/>
        </w:rPr>
        <w:t xml:space="preserve">2 </w:t>
      </w:r>
      <w:r w:rsidRPr="008A22EC">
        <w:rPr>
          <w:rFonts w:ascii="Cambria" w:hAnsi="Cambria" w:cstheme="minorHAnsi"/>
          <w:sz w:val="28"/>
          <w:szCs w:val="28"/>
        </w:rPr>
        <w:t xml:space="preserve">, оскільки </w:t>
      </w:r>
      <w:r w:rsidRPr="008A22EC">
        <w:rPr>
          <w:rFonts w:ascii="Cambria" w:hAnsi="Cambria" w:cstheme="minorHAnsi"/>
          <w:sz w:val="28"/>
          <w:szCs w:val="28"/>
        </w:rPr>
        <w:lastRenderedPageBreak/>
        <w:t xml:space="preserve">вартість товарів одразу підвищуватиметься під час перетину європейського кордону. За попередніми розрахунками, додаткові витрати українських компаній у разі експорту до ЄС можуть збільшитися на майже €600 млн./рік. Уникнути цього можна буде, якщо прийняти та імплементувати європейські кліматичні стандарти, а також провести промислову модернізацію. Україна наразі залишається однією з найбільш вуглецеємних економік з-поміж країн ЄС (таблиця “Вуглецеємність ВВП”) через: </w:t>
      </w:r>
    </w:p>
    <w:p w14:paraId="35793A3D" w14:textId="77777777" w:rsidR="002457CF" w:rsidRDefault="008A22EC" w:rsidP="008A22EC">
      <w:pPr>
        <w:spacing w:after="0" w:line="240" w:lineRule="auto"/>
        <w:ind w:firstLine="709"/>
        <w:jc w:val="both"/>
        <w:rPr>
          <w:rFonts w:ascii="Cambria" w:hAnsi="Cambria" w:cstheme="minorHAnsi"/>
          <w:sz w:val="28"/>
          <w:szCs w:val="28"/>
        </w:rPr>
      </w:pPr>
      <w:r w:rsidRPr="008A22EC">
        <w:rPr>
          <w:rFonts w:ascii="Cambria" w:hAnsi="Cambria" w:cstheme="minorHAnsi"/>
          <w:sz w:val="28"/>
          <w:szCs w:val="28"/>
        </w:rPr>
        <w:t xml:space="preserve">(а) відсутність поступу в переході від енергоємного виробництва з низькою доданою вартістю до високотехнологічного; </w:t>
      </w:r>
    </w:p>
    <w:p w14:paraId="287EC91F" w14:textId="77777777" w:rsidR="002457CF" w:rsidRDefault="008A22EC" w:rsidP="008A22EC">
      <w:pPr>
        <w:spacing w:after="0" w:line="240" w:lineRule="auto"/>
        <w:ind w:firstLine="709"/>
        <w:jc w:val="both"/>
        <w:rPr>
          <w:rFonts w:ascii="Cambria" w:hAnsi="Cambria" w:cstheme="minorHAnsi"/>
          <w:sz w:val="28"/>
          <w:szCs w:val="28"/>
        </w:rPr>
      </w:pPr>
      <w:r w:rsidRPr="008A22EC">
        <w:rPr>
          <w:rFonts w:ascii="Cambria" w:hAnsi="Cambria" w:cstheme="minorHAnsi"/>
          <w:sz w:val="28"/>
          <w:szCs w:val="28"/>
        </w:rPr>
        <w:t xml:space="preserve">(б) повільності впровадження “чистих” технологій та заходів з енергозбереження, зокрема у промисловому секторі; </w:t>
      </w:r>
    </w:p>
    <w:p w14:paraId="63F2053D" w14:textId="77777777" w:rsidR="002457CF" w:rsidRDefault="008A22EC" w:rsidP="008A22EC">
      <w:pPr>
        <w:spacing w:after="0" w:line="240" w:lineRule="auto"/>
        <w:ind w:firstLine="709"/>
        <w:jc w:val="both"/>
        <w:rPr>
          <w:rFonts w:ascii="Cambria" w:hAnsi="Cambria" w:cstheme="minorHAnsi"/>
          <w:sz w:val="28"/>
          <w:szCs w:val="28"/>
        </w:rPr>
      </w:pPr>
      <w:r w:rsidRPr="008A22EC">
        <w:rPr>
          <w:rFonts w:ascii="Cambria" w:hAnsi="Cambria" w:cstheme="minorHAnsi"/>
          <w:sz w:val="28"/>
          <w:szCs w:val="28"/>
        </w:rPr>
        <w:t xml:space="preserve">(в) досі незначних, порівняно з краї нами ЄС, потужностями, що працюють на ВДЕ. </w:t>
      </w:r>
    </w:p>
    <w:p w14:paraId="6F60772F" w14:textId="4652B684" w:rsidR="008A22EC" w:rsidRDefault="008A22EC" w:rsidP="002457CF">
      <w:pPr>
        <w:spacing w:after="0" w:line="240" w:lineRule="auto"/>
        <w:ind w:firstLine="709"/>
        <w:jc w:val="both"/>
        <w:rPr>
          <w:rFonts w:ascii="Cambria" w:hAnsi="Cambria" w:cstheme="minorHAnsi"/>
          <w:sz w:val="28"/>
          <w:szCs w:val="28"/>
        </w:rPr>
      </w:pPr>
      <w:r w:rsidRPr="008A22EC">
        <w:rPr>
          <w:rFonts w:ascii="Cambria" w:hAnsi="Cambria" w:cstheme="minorHAnsi"/>
          <w:sz w:val="28"/>
          <w:szCs w:val="28"/>
        </w:rPr>
        <w:t>Також, в Україні майже немає прогресу щодо ослаблення взаємозв’язку економічного зростання від викидів СО</w:t>
      </w:r>
      <w:r w:rsidRPr="002457CF">
        <w:rPr>
          <w:rFonts w:ascii="Cambria" w:hAnsi="Cambria" w:cstheme="minorHAnsi"/>
          <w:sz w:val="28"/>
          <w:szCs w:val="28"/>
          <w:vertAlign w:val="subscript"/>
        </w:rPr>
        <w:t>2</w:t>
      </w:r>
      <w:r w:rsidRPr="008A22EC">
        <w:rPr>
          <w:rFonts w:ascii="Cambria" w:hAnsi="Cambria" w:cstheme="minorHAnsi"/>
          <w:sz w:val="28"/>
          <w:szCs w:val="28"/>
        </w:rPr>
        <w:t xml:space="preserve"> (концепція “eco-economic decoupling”) (діаграма “Взаємозв’язок ВВП та емісії СО</w:t>
      </w:r>
      <w:r w:rsidRPr="002457CF">
        <w:rPr>
          <w:rFonts w:ascii="Cambria" w:hAnsi="Cambria" w:cstheme="minorHAnsi"/>
          <w:sz w:val="28"/>
          <w:szCs w:val="28"/>
          <w:vertAlign w:val="subscript"/>
        </w:rPr>
        <w:t>2</w:t>
      </w:r>
      <w:r w:rsidRPr="008A22EC">
        <w:rPr>
          <w:rFonts w:ascii="Cambria" w:hAnsi="Cambria" w:cstheme="minorHAnsi"/>
          <w:sz w:val="28"/>
          <w:szCs w:val="28"/>
        </w:rPr>
        <w:t xml:space="preserve"> в Україні”), не дивлячись на те, що поряд зі скоро- ченням сукупного ВВП країни у 2019</w:t>
      </w:r>
      <w:r w:rsidR="002457CF">
        <w:rPr>
          <w:rFonts w:ascii="Cambria" w:hAnsi="Cambria" w:cstheme="minorHAnsi"/>
          <w:sz w:val="28"/>
          <w:szCs w:val="28"/>
        </w:rPr>
        <w:t xml:space="preserve"> </w:t>
      </w:r>
      <w:r w:rsidRPr="008A22EC">
        <w:rPr>
          <w:rFonts w:ascii="Cambria" w:hAnsi="Cambria" w:cstheme="minorHAnsi"/>
          <w:sz w:val="28"/>
          <w:szCs w:val="28"/>
        </w:rPr>
        <w:t>р. до рівнів 1990р. на 34%, загальний обсяг викидів СО</w:t>
      </w:r>
      <w:r w:rsidRPr="002457CF">
        <w:rPr>
          <w:rFonts w:ascii="Cambria" w:hAnsi="Cambria" w:cstheme="minorHAnsi"/>
          <w:sz w:val="28"/>
          <w:szCs w:val="28"/>
          <w:vertAlign w:val="subscript"/>
        </w:rPr>
        <w:t>2</w:t>
      </w:r>
      <w:r w:rsidRPr="008A22EC">
        <w:rPr>
          <w:rFonts w:ascii="Cambria" w:hAnsi="Cambria" w:cstheme="minorHAnsi"/>
          <w:sz w:val="28"/>
          <w:szCs w:val="28"/>
        </w:rPr>
        <w:t xml:space="preserve"> зменшився на 70%.</w:t>
      </w:r>
    </w:p>
    <w:p w14:paraId="45A69A21" w14:textId="77777777" w:rsidR="002457CF" w:rsidRDefault="002457CF" w:rsidP="002457CF">
      <w:pPr>
        <w:spacing w:after="0" w:line="240" w:lineRule="auto"/>
        <w:ind w:firstLine="709"/>
        <w:jc w:val="both"/>
        <w:rPr>
          <w:rFonts w:ascii="Cambria" w:hAnsi="Cambria" w:cstheme="minorHAnsi"/>
          <w:sz w:val="28"/>
          <w:szCs w:val="28"/>
        </w:rPr>
      </w:pPr>
    </w:p>
    <w:p w14:paraId="6214BF91" w14:textId="4628073B" w:rsidR="002457CF" w:rsidRDefault="002457CF" w:rsidP="002457CF">
      <w:pPr>
        <w:spacing w:after="0" w:line="240" w:lineRule="auto"/>
        <w:jc w:val="both"/>
        <w:rPr>
          <w:rFonts w:ascii="Cambria" w:hAnsi="Cambria" w:cstheme="minorHAnsi"/>
          <w:sz w:val="28"/>
          <w:szCs w:val="28"/>
        </w:rPr>
      </w:pPr>
      <w:r w:rsidRPr="002457CF">
        <w:rPr>
          <w:rFonts w:ascii="Cambria" w:hAnsi="Cambria" w:cstheme="minorHAnsi"/>
          <w:sz w:val="28"/>
          <w:szCs w:val="28"/>
        </w:rPr>
        <w:drawing>
          <wp:inline distT="0" distB="0" distL="0" distR="0" wp14:anchorId="08AA3DC6" wp14:editId="06109885">
            <wp:extent cx="6111875" cy="5127172"/>
            <wp:effectExtent l="0" t="0" r="3175" b="0"/>
            <wp:docPr id="15888580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858045" name=""/>
                    <pic:cNvPicPr/>
                  </pic:nvPicPr>
                  <pic:blipFill>
                    <a:blip r:embed="rId6"/>
                    <a:stretch>
                      <a:fillRect/>
                    </a:stretch>
                  </pic:blipFill>
                  <pic:spPr>
                    <a:xfrm>
                      <a:off x="0" y="0"/>
                      <a:ext cx="6126961" cy="5139827"/>
                    </a:xfrm>
                    <a:prstGeom prst="rect">
                      <a:avLst/>
                    </a:prstGeom>
                  </pic:spPr>
                </pic:pic>
              </a:graphicData>
            </a:graphic>
          </wp:inline>
        </w:drawing>
      </w:r>
    </w:p>
    <w:p w14:paraId="7A592B97" w14:textId="77777777" w:rsidR="002457CF" w:rsidRDefault="002457CF" w:rsidP="002457CF">
      <w:pPr>
        <w:spacing w:after="0" w:line="240" w:lineRule="auto"/>
        <w:jc w:val="both"/>
        <w:rPr>
          <w:rFonts w:ascii="Cambria" w:hAnsi="Cambria" w:cstheme="minorHAnsi"/>
          <w:sz w:val="28"/>
          <w:szCs w:val="28"/>
        </w:rPr>
      </w:pPr>
    </w:p>
    <w:p w14:paraId="097C9285" w14:textId="77777777" w:rsidR="007C0E24" w:rsidRDefault="007C0E24" w:rsidP="007C0E24">
      <w:pPr>
        <w:spacing w:after="0" w:line="240" w:lineRule="auto"/>
        <w:ind w:firstLine="709"/>
        <w:jc w:val="both"/>
        <w:rPr>
          <w:rFonts w:ascii="Cambria" w:hAnsi="Cambria" w:cstheme="minorHAnsi"/>
          <w:sz w:val="28"/>
          <w:szCs w:val="28"/>
        </w:rPr>
      </w:pPr>
      <w:r w:rsidRPr="007C0E24">
        <w:rPr>
          <w:rFonts w:ascii="Cambria" w:hAnsi="Cambria" w:cstheme="minorHAnsi"/>
          <w:sz w:val="28"/>
          <w:szCs w:val="28"/>
        </w:rPr>
        <w:lastRenderedPageBreak/>
        <w:t>Через неналежний технічний стан основних засобів виробництва (у 2019р. ступінь зносу основних виробничих фондів на підприємствах промисловості склав 59,1%) Україна залишається продуцентом СО</w:t>
      </w:r>
      <w:r w:rsidRPr="007C0E24">
        <w:rPr>
          <w:rFonts w:ascii="Cambria" w:hAnsi="Cambria" w:cstheme="minorHAnsi"/>
          <w:sz w:val="28"/>
          <w:szCs w:val="28"/>
          <w:vertAlign w:val="subscript"/>
        </w:rPr>
        <w:t>2</w:t>
      </w:r>
      <w:r w:rsidRPr="007C0E24">
        <w:rPr>
          <w:rFonts w:ascii="Cambria" w:hAnsi="Cambria" w:cstheme="minorHAnsi"/>
          <w:sz w:val="28"/>
          <w:szCs w:val="28"/>
        </w:rPr>
        <w:t xml:space="preserve"> . Хоча обсяг викидів СО2 скоротився за останнє десятиріччя на 32% (у 2019</w:t>
      </w:r>
      <w:r>
        <w:rPr>
          <w:rFonts w:ascii="Cambria" w:hAnsi="Cambria" w:cstheme="minorHAnsi"/>
          <w:sz w:val="28"/>
          <w:szCs w:val="28"/>
        </w:rPr>
        <w:t xml:space="preserve"> </w:t>
      </w:r>
      <w:r w:rsidRPr="007C0E24">
        <w:rPr>
          <w:rFonts w:ascii="Cambria" w:hAnsi="Cambria" w:cstheme="minorHAnsi"/>
          <w:sz w:val="28"/>
          <w:szCs w:val="28"/>
        </w:rPr>
        <w:t>р. їх кількість становила 185,4 млн. СО</w:t>
      </w:r>
      <w:r w:rsidRPr="007C0E24">
        <w:rPr>
          <w:rFonts w:ascii="Cambria" w:hAnsi="Cambria" w:cstheme="minorHAnsi"/>
          <w:sz w:val="28"/>
          <w:szCs w:val="28"/>
          <w:vertAlign w:val="subscript"/>
        </w:rPr>
        <w:t>2</w:t>
      </w:r>
      <w:r w:rsidRPr="007C0E24">
        <w:rPr>
          <w:rFonts w:ascii="Cambria" w:hAnsi="Cambria" w:cstheme="minorHAnsi"/>
          <w:sz w:val="28"/>
          <w:szCs w:val="28"/>
        </w:rPr>
        <w:t>), порівняно з 2009</w:t>
      </w:r>
      <w:r>
        <w:rPr>
          <w:rFonts w:ascii="Cambria" w:hAnsi="Cambria" w:cstheme="minorHAnsi"/>
          <w:sz w:val="28"/>
          <w:szCs w:val="28"/>
        </w:rPr>
        <w:t xml:space="preserve"> </w:t>
      </w:r>
      <w:r w:rsidRPr="007C0E24">
        <w:rPr>
          <w:rFonts w:ascii="Cambria" w:hAnsi="Cambria" w:cstheme="minorHAnsi"/>
          <w:sz w:val="28"/>
          <w:szCs w:val="28"/>
        </w:rPr>
        <w:t>р. (271,5 млн. СО</w:t>
      </w:r>
      <w:r w:rsidRPr="007C0E24">
        <w:rPr>
          <w:rFonts w:ascii="Cambria" w:hAnsi="Cambria" w:cstheme="minorHAnsi"/>
          <w:sz w:val="28"/>
          <w:szCs w:val="28"/>
          <w:vertAlign w:val="subscript"/>
        </w:rPr>
        <w:t>2</w:t>
      </w:r>
      <w:r w:rsidRPr="007C0E24">
        <w:rPr>
          <w:rFonts w:ascii="Cambria" w:hAnsi="Cambria" w:cstheme="minorHAnsi"/>
          <w:sz w:val="28"/>
          <w:szCs w:val="28"/>
        </w:rPr>
        <w:t>), пов’язано це меншою мірою із запровадженням енергоефективних заходів та переходом на ВДЕ у промисловому секторі, а більшою мірою – зі структурними змінами в економіці. Енергоємні галузі частково почали заміщуватися сектором послуг та сільським господарством, водночас спостерігалось уповільнення темпів зростання ВВП через військову агресію на Сході країни, де окремими роками було зафіксовано різкий спад (у 2014</w:t>
      </w:r>
      <w:r>
        <w:rPr>
          <w:rFonts w:ascii="Cambria" w:hAnsi="Cambria" w:cstheme="minorHAnsi"/>
          <w:sz w:val="28"/>
          <w:szCs w:val="28"/>
        </w:rPr>
        <w:t xml:space="preserve"> </w:t>
      </w:r>
      <w:r w:rsidRPr="007C0E24">
        <w:rPr>
          <w:rFonts w:ascii="Cambria" w:hAnsi="Cambria" w:cstheme="minorHAnsi"/>
          <w:sz w:val="28"/>
          <w:szCs w:val="28"/>
        </w:rPr>
        <w:t>р. на близько 7%, а у 2015</w:t>
      </w:r>
      <w:r>
        <w:rPr>
          <w:rFonts w:ascii="Cambria" w:hAnsi="Cambria" w:cstheme="minorHAnsi"/>
          <w:sz w:val="28"/>
          <w:szCs w:val="28"/>
        </w:rPr>
        <w:t xml:space="preserve"> </w:t>
      </w:r>
      <w:r w:rsidRPr="007C0E24">
        <w:rPr>
          <w:rFonts w:ascii="Cambria" w:hAnsi="Cambria" w:cstheme="minorHAnsi"/>
          <w:sz w:val="28"/>
          <w:szCs w:val="28"/>
        </w:rPr>
        <w:t>р. – на понад 10%). 23 вересня 2020</w:t>
      </w:r>
      <w:r>
        <w:rPr>
          <w:rFonts w:ascii="Cambria" w:hAnsi="Cambria" w:cstheme="minorHAnsi"/>
          <w:sz w:val="28"/>
          <w:szCs w:val="28"/>
        </w:rPr>
        <w:t xml:space="preserve"> </w:t>
      </w:r>
      <w:r w:rsidRPr="007C0E24">
        <w:rPr>
          <w:rFonts w:ascii="Cambria" w:hAnsi="Cambria" w:cstheme="minorHAnsi"/>
          <w:sz w:val="28"/>
          <w:szCs w:val="28"/>
        </w:rPr>
        <w:t>р., Уряд схвалив законопроект “Про запобігання, зменшення та контроль промислового забруднення”, розроблений профільним міністерством з метою забезпечення імплементації</w:t>
      </w:r>
      <w:r>
        <w:rPr>
          <w:rFonts w:ascii="Cambria" w:hAnsi="Cambria" w:cstheme="minorHAnsi"/>
          <w:sz w:val="28"/>
          <w:szCs w:val="28"/>
        </w:rPr>
        <w:t xml:space="preserve"> </w:t>
      </w:r>
      <w:r w:rsidRPr="007C0E24">
        <w:rPr>
          <w:rFonts w:ascii="Cambria" w:hAnsi="Cambria" w:cstheme="minorHAnsi"/>
          <w:sz w:val="28"/>
          <w:szCs w:val="28"/>
        </w:rPr>
        <w:t xml:space="preserve">положень Директиви №2010/75/ЄС “Про промислові викиди” (інтегроване запобігання та контроль забруднення). </w:t>
      </w:r>
    </w:p>
    <w:p w14:paraId="4C9AEB91" w14:textId="77777777" w:rsidR="007C0E24" w:rsidRDefault="007C0E24" w:rsidP="007C0E24">
      <w:pPr>
        <w:spacing w:after="0" w:line="240" w:lineRule="auto"/>
        <w:ind w:firstLine="709"/>
        <w:jc w:val="both"/>
        <w:rPr>
          <w:rFonts w:ascii="Cambria" w:hAnsi="Cambria" w:cstheme="minorHAnsi"/>
          <w:sz w:val="28"/>
          <w:szCs w:val="28"/>
        </w:rPr>
      </w:pPr>
      <w:r w:rsidRPr="007C0E24">
        <w:rPr>
          <w:rFonts w:ascii="Cambria" w:hAnsi="Cambria" w:cstheme="minorHAnsi"/>
          <w:sz w:val="28"/>
          <w:szCs w:val="28"/>
        </w:rPr>
        <w:t xml:space="preserve">Головна ідея – впровадження інтегрованого дозволу для великих підприємств, які є найбільшими забруднювачами довкілля. Такий дозвіл встановлюватиме вимоги до обсягів забруднення та необхідних заходів для зменшення впливу підприємств на довкілля. Отримання такого дозволу найбільшими забруднювачами стане обов’язковим. Нововведення вимагатимуть від бізнесу зміни підходів до управління промисловими процесами (застосування новітніх підходів управління та екологічних технологій), що наблизить країну до показників Цілей сталого розвитку (Програма ООН). </w:t>
      </w:r>
    </w:p>
    <w:p w14:paraId="3DD8F6B5" w14:textId="78C9ADD3" w:rsidR="002457CF" w:rsidRDefault="007C0E24" w:rsidP="007C0E24">
      <w:pPr>
        <w:spacing w:after="0" w:line="240" w:lineRule="auto"/>
        <w:ind w:firstLine="709"/>
        <w:jc w:val="both"/>
        <w:rPr>
          <w:rFonts w:ascii="Cambria" w:hAnsi="Cambria" w:cstheme="minorHAnsi"/>
          <w:sz w:val="28"/>
          <w:szCs w:val="28"/>
        </w:rPr>
      </w:pPr>
      <w:r w:rsidRPr="007C0E24">
        <w:rPr>
          <w:rFonts w:ascii="Cambria" w:hAnsi="Cambria" w:cstheme="minorHAnsi"/>
          <w:sz w:val="28"/>
          <w:szCs w:val="28"/>
        </w:rPr>
        <w:t>Україна, з-поміж іншого, взяла зобов’язання щодо імплементації Директиви №2003/87/ЄС про встановлення схеми торгівлі викидами ПГ, яка спрямована на поступове зниження викидів підприємствами. Директива передбачає запуск системи моніторингу, звітності та верифікації викидів ПГ та запуск СТВ (система торгівлі викидами). Якщо у першому випадку вже прийнято законодавство, то запровадження СТВ – зволікається, що збільшує ризики застосування до української продукції механізму прикордонного вуглецевого регулювання. Через неприйняття підзаконних нормативно-правових актів, передбачених Законом “Про моніторинг, звітність та верифікацію викидів парникових газів”, цей документ не зможе запрацювати з січня 2021</w:t>
      </w:r>
      <w:r>
        <w:rPr>
          <w:rFonts w:ascii="Cambria" w:hAnsi="Cambria" w:cstheme="minorHAnsi"/>
          <w:sz w:val="28"/>
          <w:szCs w:val="28"/>
        </w:rPr>
        <w:t xml:space="preserve"> </w:t>
      </w:r>
      <w:r w:rsidRPr="007C0E24">
        <w:rPr>
          <w:rFonts w:ascii="Cambria" w:hAnsi="Cambria" w:cstheme="minorHAnsi"/>
          <w:sz w:val="28"/>
          <w:szCs w:val="28"/>
        </w:rPr>
        <w:t>р.</w:t>
      </w:r>
    </w:p>
    <w:p w14:paraId="644FE042" w14:textId="77777777" w:rsidR="007C0E24" w:rsidRDefault="007C0E24" w:rsidP="007C0E24">
      <w:pPr>
        <w:spacing w:after="0" w:line="240" w:lineRule="auto"/>
        <w:ind w:firstLine="709"/>
        <w:jc w:val="both"/>
        <w:rPr>
          <w:rFonts w:ascii="Cambria" w:hAnsi="Cambria" w:cstheme="minorHAnsi"/>
          <w:sz w:val="28"/>
          <w:szCs w:val="28"/>
        </w:rPr>
      </w:pPr>
      <w:r w:rsidRPr="007C0E24">
        <w:rPr>
          <w:rFonts w:ascii="Cambria" w:hAnsi="Cambria" w:cstheme="minorHAnsi"/>
          <w:sz w:val="28"/>
          <w:szCs w:val="28"/>
        </w:rPr>
        <w:t xml:space="preserve">Україна на ринках органічної продукції ЄС Згідно зі ст. 404 Угоди визначається необхідність “заохочення сучасного та сталого сільськогосподарського виробництва, з урахуванням необхідності захисту навколишнього середовища і тварин, зокрема поширення застосування методів органічного виробництва й використання біотехнологій, inter alia шляхом впровадження найкращих практик у цих сферах”. Так Україна взяла зобов’язання щодо поступового наближення вітчизняного законодавства до регламентів, що стосуються органічного фермерства. </w:t>
      </w:r>
    </w:p>
    <w:p w14:paraId="2F81E94A" w14:textId="02AF968F" w:rsidR="002457CF" w:rsidRDefault="007C0E24" w:rsidP="007C0E24">
      <w:pPr>
        <w:spacing w:after="0" w:line="240" w:lineRule="auto"/>
        <w:ind w:firstLine="709"/>
        <w:jc w:val="both"/>
        <w:rPr>
          <w:rFonts w:ascii="Cambria" w:hAnsi="Cambria" w:cstheme="minorHAnsi"/>
          <w:sz w:val="28"/>
          <w:szCs w:val="28"/>
        </w:rPr>
      </w:pPr>
      <w:r w:rsidRPr="007C0E24">
        <w:rPr>
          <w:rFonts w:ascii="Cambria" w:hAnsi="Cambria" w:cstheme="minorHAnsi"/>
          <w:sz w:val="28"/>
          <w:szCs w:val="28"/>
        </w:rPr>
        <w:lastRenderedPageBreak/>
        <w:t>Одним з головних законів за цим напрямом став Закон “Про основні принципи та вимоги до органічного виробництва, обігу та маркування органічної продукції”, який набув чинності 2 серпня 2019р. З 2014</w:t>
      </w:r>
      <w:r>
        <w:rPr>
          <w:rFonts w:ascii="Cambria" w:hAnsi="Cambria" w:cstheme="minorHAnsi"/>
          <w:sz w:val="28"/>
          <w:szCs w:val="28"/>
        </w:rPr>
        <w:t xml:space="preserve"> </w:t>
      </w:r>
      <w:r w:rsidRPr="007C0E24">
        <w:rPr>
          <w:rFonts w:ascii="Cambria" w:hAnsi="Cambria" w:cstheme="minorHAnsi"/>
          <w:sz w:val="28"/>
          <w:szCs w:val="28"/>
        </w:rPr>
        <w:t>р. Україна упевненими кроками почала входити до європейського економічного простору, намагаючись зміцнити власні позиції на теренах ЄС. Зокрема, країна стала важливим постачальником органічної продукції на ринок ЄС, скориставшись перевагами Угоди (на продукцію встановлено “нульові” ставки та не поширюється квотування, а ціни, як правило, в середньому є на 30% вищими за неорганічні аналоги). У цьому сегменті представлені українські компанії, які займаються виробництвом концентрованих соків, сублімованих, свіжих та заморожених фруктів, вирощуванням та реалізацією зернових культур. За інформацією Офісу підтримки реформ при Мінагрополітики, у 2018</w:t>
      </w:r>
      <w:r>
        <w:rPr>
          <w:rFonts w:ascii="Cambria" w:hAnsi="Cambria" w:cstheme="minorHAnsi"/>
          <w:sz w:val="28"/>
          <w:szCs w:val="28"/>
        </w:rPr>
        <w:t xml:space="preserve"> </w:t>
      </w:r>
      <w:r w:rsidRPr="007C0E24">
        <w:rPr>
          <w:rFonts w:ascii="Cambria" w:hAnsi="Cambria" w:cstheme="minorHAnsi"/>
          <w:sz w:val="28"/>
          <w:szCs w:val="28"/>
        </w:rPr>
        <w:t>р. в Україні нараховувалося 635 операторів органічного ринку, з них 501 – сільськогосподарські виробники</w:t>
      </w:r>
      <w:r>
        <w:rPr>
          <w:rFonts w:ascii="Cambria" w:hAnsi="Cambria" w:cstheme="minorHAnsi"/>
          <w:sz w:val="28"/>
          <w:szCs w:val="28"/>
        </w:rPr>
        <w:t>.</w:t>
      </w:r>
    </w:p>
    <w:p w14:paraId="36FE5E82" w14:textId="77777777" w:rsidR="007C0E24" w:rsidRDefault="007C0E24" w:rsidP="007C0E24">
      <w:pPr>
        <w:spacing w:after="0" w:line="240" w:lineRule="auto"/>
        <w:ind w:firstLine="709"/>
        <w:jc w:val="both"/>
        <w:rPr>
          <w:rFonts w:ascii="Cambria" w:hAnsi="Cambria" w:cstheme="minorHAnsi"/>
          <w:i/>
          <w:iCs/>
          <w:sz w:val="28"/>
          <w:szCs w:val="28"/>
        </w:rPr>
      </w:pPr>
    </w:p>
    <w:p w14:paraId="2C2CAAFE" w14:textId="1ED6F193" w:rsidR="007C0E24" w:rsidRDefault="007C0E24" w:rsidP="007C0E24">
      <w:pPr>
        <w:spacing w:after="0" w:line="240" w:lineRule="auto"/>
        <w:ind w:firstLine="709"/>
        <w:jc w:val="both"/>
        <w:rPr>
          <w:rFonts w:ascii="Cambria" w:hAnsi="Cambria" w:cstheme="minorHAnsi"/>
          <w:i/>
          <w:iCs/>
          <w:sz w:val="28"/>
          <w:szCs w:val="28"/>
        </w:rPr>
      </w:pPr>
      <w:r w:rsidRPr="007C0E24">
        <w:rPr>
          <w:rFonts w:ascii="Cambria" w:hAnsi="Cambria" w:cstheme="minorHAnsi"/>
          <w:i/>
          <w:iCs/>
          <w:sz w:val="28"/>
          <w:szCs w:val="28"/>
        </w:rPr>
        <w:t>У рейтингу експортерів цієї продукції до ЄС у 2019</w:t>
      </w:r>
      <w:r>
        <w:rPr>
          <w:rFonts w:ascii="Cambria" w:hAnsi="Cambria" w:cstheme="minorHAnsi"/>
          <w:i/>
          <w:iCs/>
          <w:sz w:val="28"/>
          <w:szCs w:val="28"/>
        </w:rPr>
        <w:t xml:space="preserve"> </w:t>
      </w:r>
      <w:r w:rsidRPr="007C0E24">
        <w:rPr>
          <w:rFonts w:ascii="Cambria" w:hAnsi="Cambria" w:cstheme="minorHAnsi"/>
          <w:i/>
          <w:iCs/>
          <w:sz w:val="28"/>
          <w:szCs w:val="28"/>
        </w:rPr>
        <w:t>р. Україна посіла 2 місце з-поміж 123 країн (у 2018р. – 4 місце з-поміж 115 країн). На неї припало 337,86 тис. т продукції – 10,4% загального імпорту – що на 27,1% більше, порівняно з 2018р. На імпорт органічних зернових культур (крім пшениці та рису) з України припадає 76,9%; пшениці – 31,8%, органічних олійних (крім сої) культур – 18,2%; сої – 13%, фруктів – 11%, фруктових соків – 5,2%, овочів (свіжих, охолоджених, сушених) – 4,4%. Головними країнами-імпортерами української органічної продукції є Нідерланди, Німеччина, Італія, Австрія, Польща, Бельгія, Чехія, Болгарія та Угорщина</w:t>
      </w:r>
      <w:r>
        <w:rPr>
          <w:rFonts w:ascii="Cambria" w:hAnsi="Cambria" w:cstheme="minorHAnsi"/>
          <w:i/>
          <w:iCs/>
          <w:sz w:val="28"/>
          <w:szCs w:val="28"/>
        </w:rPr>
        <w:t>.</w:t>
      </w:r>
    </w:p>
    <w:p w14:paraId="7CFB88EF" w14:textId="77777777" w:rsidR="007C0E24" w:rsidRDefault="007C0E24" w:rsidP="007C0E24">
      <w:pPr>
        <w:spacing w:after="0" w:line="240" w:lineRule="auto"/>
        <w:ind w:firstLine="709"/>
        <w:jc w:val="both"/>
        <w:rPr>
          <w:rFonts w:ascii="Cambria" w:hAnsi="Cambria" w:cstheme="minorHAnsi"/>
          <w:i/>
          <w:iCs/>
          <w:sz w:val="28"/>
          <w:szCs w:val="28"/>
        </w:rPr>
      </w:pPr>
    </w:p>
    <w:p w14:paraId="086CC9E3" w14:textId="77777777" w:rsidR="007C0E24" w:rsidRPr="007C0E24" w:rsidRDefault="007C0E24" w:rsidP="007C0E24">
      <w:pPr>
        <w:spacing w:after="0" w:line="240" w:lineRule="auto"/>
        <w:ind w:firstLine="709"/>
        <w:jc w:val="both"/>
        <w:rPr>
          <w:rFonts w:ascii="Cambria" w:hAnsi="Cambria" w:cstheme="minorHAnsi"/>
          <w:b/>
          <w:bCs/>
          <w:i/>
          <w:iCs/>
          <w:sz w:val="28"/>
          <w:szCs w:val="28"/>
        </w:rPr>
      </w:pPr>
      <w:r w:rsidRPr="007C0E24">
        <w:rPr>
          <w:rFonts w:ascii="Cambria" w:hAnsi="Cambria" w:cstheme="minorHAnsi"/>
          <w:b/>
          <w:bCs/>
          <w:i/>
          <w:iCs/>
          <w:sz w:val="28"/>
          <w:szCs w:val="28"/>
        </w:rPr>
        <w:t>Фінансові аспекти процесів екологізації</w:t>
      </w:r>
      <w:r w:rsidRPr="007C0E24">
        <w:rPr>
          <w:rFonts w:ascii="Cambria" w:hAnsi="Cambria" w:cstheme="minorHAnsi"/>
          <w:b/>
          <w:bCs/>
          <w:i/>
          <w:iCs/>
          <w:sz w:val="28"/>
          <w:szCs w:val="28"/>
        </w:rPr>
        <w:t>.</w:t>
      </w:r>
    </w:p>
    <w:p w14:paraId="019544BB" w14:textId="74CC8DE7" w:rsidR="007C0E24" w:rsidRDefault="007C0E24" w:rsidP="007C0E24">
      <w:pPr>
        <w:spacing w:after="0" w:line="240" w:lineRule="auto"/>
        <w:ind w:firstLine="709"/>
        <w:jc w:val="both"/>
        <w:rPr>
          <w:rFonts w:ascii="Cambria" w:hAnsi="Cambria" w:cstheme="minorHAnsi"/>
          <w:sz w:val="28"/>
          <w:szCs w:val="28"/>
        </w:rPr>
      </w:pPr>
      <w:r w:rsidRPr="007C0E24">
        <w:rPr>
          <w:rFonts w:ascii="Cambria" w:hAnsi="Cambria" w:cstheme="minorHAnsi"/>
          <w:sz w:val="28"/>
          <w:szCs w:val="28"/>
        </w:rPr>
        <w:t>Імплементація норм кліматичної політики ЄС вимагає додаткового значного фінансування. Допомогою у вирішенні екологічних питань можуть стати нові програми з підтримки довкілля та кліматичної діяльності, про які було оголошено в жовтні 2020</w:t>
      </w:r>
      <w:r>
        <w:rPr>
          <w:rFonts w:ascii="Cambria" w:hAnsi="Cambria" w:cstheme="minorHAnsi"/>
          <w:sz w:val="28"/>
          <w:szCs w:val="28"/>
        </w:rPr>
        <w:t xml:space="preserve"> </w:t>
      </w:r>
      <w:r w:rsidRPr="007C0E24">
        <w:rPr>
          <w:rFonts w:ascii="Cambria" w:hAnsi="Cambria" w:cstheme="minorHAnsi"/>
          <w:sz w:val="28"/>
          <w:szCs w:val="28"/>
        </w:rPr>
        <w:t>р. під час ХХІІ Саміту Україна-ЄС. Зокрема, під писано угоду про фінансування заходу “Кліматичний пакет для стабільної економіки: (CASE) в Україні”, якою передбачається: розробка та реалізація полі тики переходу до кліматично нейтрального, чистого, ресурсоефективного та безпечного енергопостачання та споживання; підтримка пом’якшення змін клімату за рахунок скорочення викидів ПГ та речовин, що руйнують озоновий шар; стимулювання переходу до циркулярної економіки. Загальний внесок ЄС за угодою становить 10 млн</w:t>
      </w:r>
      <w:r>
        <w:rPr>
          <w:rFonts w:ascii="Cambria" w:hAnsi="Cambria" w:cstheme="minorHAnsi"/>
          <w:sz w:val="28"/>
          <w:szCs w:val="28"/>
        </w:rPr>
        <w:t xml:space="preserve"> євро.</w:t>
      </w:r>
    </w:p>
    <w:p w14:paraId="38DA7339" w14:textId="77777777" w:rsidR="007C0E24" w:rsidRDefault="007C0E24" w:rsidP="007C0E24">
      <w:pPr>
        <w:spacing w:after="0" w:line="240" w:lineRule="auto"/>
        <w:ind w:firstLine="709"/>
        <w:jc w:val="both"/>
        <w:rPr>
          <w:rFonts w:ascii="Cambria" w:hAnsi="Cambria" w:cstheme="minorHAnsi"/>
          <w:sz w:val="28"/>
          <w:szCs w:val="28"/>
        </w:rPr>
      </w:pPr>
      <w:r w:rsidRPr="007C0E24">
        <w:rPr>
          <w:rFonts w:ascii="Cambria" w:hAnsi="Cambria" w:cstheme="minorHAnsi"/>
          <w:sz w:val="28"/>
          <w:szCs w:val="28"/>
        </w:rPr>
        <w:t xml:space="preserve">Екологізація потребує підтримки і з боку держави. Проте, декларуючи свої устремління долучення до Європейського зеленого курсу, Уряд вдавався до неоднозначних рішень: під час корегування Держбюджету-2020 у квітні </w:t>
      </w:r>
      <w:proofErr w:type="spellStart"/>
      <w:r w:rsidRPr="007C0E24">
        <w:rPr>
          <w:rFonts w:ascii="Cambria" w:hAnsi="Cambria" w:cstheme="minorHAnsi"/>
          <w:sz w:val="28"/>
          <w:szCs w:val="28"/>
        </w:rPr>
        <w:t>ц.р</w:t>
      </w:r>
      <w:proofErr w:type="spellEnd"/>
      <w:r w:rsidRPr="007C0E24">
        <w:rPr>
          <w:rFonts w:ascii="Cambria" w:hAnsi="Cambria" w:cstheme="minorHAnsi"/>
          <w:sz w:val="28"/>
          <w:szCs w:val="28"/>
        </w:rPr>
        <w:t xml:space="preserve">. частина коштів з екологічного напряму були переорієнтовані на вугільний: видатки на екологічні напрями були зменшені на 876 млн. грн. (моніторинг повітря, природоохоронні заходи та ін.), а стаття з реструктуризації вугільної галузі збільшилася на 1,6 млрд. грн. – до 3,56 млрд. грн. Також, у проекті Держбюджету-2021 заходи з </w:t>
      </w:r>
      <w:r w:rsidRPr="007C0E24">
        <w:rPr>
          <w:rFonts w:ascii="Cambria" w:hAnsi="Cambria" w:cstheme="minorHAnsi"/>
          <w:sz w:val="28"/>
          <w:szCs w:val="28"/>
        </w:rPr>
        <w:lastRenderedPageBreak/>
        <w:t xml:space="preserve">охорони довкілля не мають достатнього фінансування, проте загальна підтримка вугільного сектору зросла до 4,5 млрд. грн. </w:t>
      </w:r>
    </w:p>
    <w:p w14:paraId="67ECC276" w14:textId="77777777" w:rsidR="007C0E24" w:rsidRDefault="007C0E24" w:rsidP="007C0E24">
      <w:pPr>
        <w:spacing w:after="0" w:line="240" w:lineRule="auto"/>
        <w:ind w:firstLine="709"/>
        <w:jc w:val="both"/>
        <w:rPr>
          <w:rFonts w:ascii="Cambria" w:hAnsi="Cambria" w:cstheme="minorHAnsi"/>
          <w:sz w:val="28"/>
          <w:szCs w:val="28"/>
        </w:rPr>
      </w:pPr>
      <w:r w:rsidRPr="007C0E24">
        <w:rPr>
          <w:rFonts w:ascii="Cambria" w:hAnsi="Cambria" w:cstheme="minorHAnsi"/>
          <w:sz w:val="28"/>
          <w:szCs w:val="28"/>
        </w:rPr>
        <w:t>Нелогічною виглядає заява Міністерства стратегічних галузей України про необхідність від- класти імплементацію вимог Угоди в екологічному секторі, аргументуючи це багатомільйардними витратами на проведення модернізації підприємств хімічної, металургійної, гірничодобувної промисловості102. Так, з одного боку, імплементація норм вимагає додаткових обсягів доволі ризикових інвестицій в заходи, які передбачають скорочення промислового забруднення та покращення якості атмосферного повітря. Але з іншого, – втрати вітчизняним бізнесом західних ринків через небажання модернізувати виробничі процеси, будуть значно більшими. Крім бюджетних проблем, питання викликає ефективність використання надходжень за екологічним податком. Попри те, що з 1 січня 2019</w:t>
      </w:r>
      <w:r>
        <w:rPr>
          <w:rFonts w:ascii="Cambria" w:hAnsi="Cambria" w:cstheme="minorHAnsi"/>
          <w:sz w:val="28"/>
          <w:szCs w:val="28"/>
        </w:rPr>
        <w:t xml:space="preserve"> </w:t>
      </w:r>
      <w:r w:rsidRPr="007C0E24">
        <w:rPr>
          <w:rFonts w:ascii="Cambria" w:hAnsi="Cambria" w:cstheme="minorHAnsi"/>
          <w:sz w:val="28"/>
          <w:szCs w:val="28"/>
        </w:rPr>
        <w:t>р. ставки екологічного податку за викиди СО</w:t>
      </w:r>
      <w:r w:rsidRPr="007C0E24">
        <w:rPr>
          <w:rFonts w:ascii="Cambria" w:hAnsi="Cambria" w:cstheme="minorHAnsi"/>
          <w:sz w:val="28"/>
          <w:szCs w:val="28"/>
          <w:vertAlign w:val="subscript"/>
        </w:rPr>
        <w:t>2</w:t>
      </w:r>
      <w:r w:rsidRPr="007C0E24">
        <w:rPr>
          <w:rFonts w:ascii="Cambria" w:hAnsi="Cambria" w:cstheme="minorHAnsi"/>
          <w:sz w:val="28"/>
          <w:szCs w:val="28"/>
        </w:rPr>
        <w:t xml:space="preserve"> збільшилися у 24,4 рази – з 0,41 грн./т до 10 грн./т, розподіл за надходженнями відбувається нераці</w:t>
      </w:r>
      <w:r>
        <w:rPr>
          <w:rFonts w:ascii="Cambria" w:hAnsi="Cambria" w:cstheme="minorHAnsi"/>
          <w:sz w:val="28"/>
          <w:szCs w:val="28"/>
        </w:rPr>
        <w:t>о</w:t>
      </w:r>
      <w:r w:rsidRPr="007C0E24">
        <w:rPr>
          <w:rFonts w:ascii="Cambria" w:hAnsi="Cambria" w:cstheme="minorHAnsi"/>
          <w:sz w:val="28"/>
          <w:szCs w:val="28"/>
        </w:rPr>
        <w:t xml:space="preserve">нально. </w:t>
      </w:r>
    </w:p>
    <w:p w14:paraId="60B3EB3D" w14:textId="77777777" w:rsidR="007C0E24" w:rsidRDefault="007C0E24" w:rsidP="007C0E24">
      <w:pPr>
        <w:spacing w:after="0" w:line="240" w:lineRule="auto"/>
        <w:ind w:firstLine="709"/>
        <w:jc w:val="both"/>
        <w:rPr>
          <w:rFonts w:ascii="Cambria" w:hAnsi="Cambria" w:cstheme="minorHAnsi"/>
          <w:sz w:val="28"/>
          <w:szCs w:val="28"/>
        </w:rPr>
      </w:pPr>
      <w:r w:rsidRPr="007C0E24">
        <w:rPr>
          <w:rFonts w:ascii="Cambria" w:hAnsi="Cambria" w:cstheme="minorHAnsi"/>
          <w:sz w:val="28"/>
          <w:szCs w:val="28"/>
        </w:rPr>
        <w:t xml:space="preserve">Екоподаток має слугувати фінансовим інструментом стимулювання підприємств до модернізації та підтримки природоохоронних заходів. Сьогодні на розгляді профільних комітетів знаходяться законопроекти №3543-1, №3631, №3632, якими передбачаються зміни з реформування механізму збору та використання екологічного податку. </w:t>
      </w:r>
    </w:p>
    <w:p w14:paraId="78D99204" w14:textId="77777777" w:rsidR="007C0E24" w:rsidRDefault="007C0E24" w:rsidP="007C0E24">
      <w:pPr>
        <w:spacing w:after="0" w:line="240" w:lineRule="auto"/>
        <w:ind w:firstLine="709"/>
        <w:jc w:val="both"/>
        <w:rPr>
          <w:rFonts w:ascii="Cambria" w:hAnsi="Cambria" w:cstheme="minorHAnsi"/>
          <w:sz w:val="28"/>
          <w:szCs w:val="28"/>
        </w:rPr>
      </w:pPr>
      <w:r w:rsidRPr="007C0E24">
        <w:rPr>
          <w:rFonts w:ascii="Cambria" w:hAnsi="Cambria" w:cstheme="minorHAnsi"/>
          <w:sz w:val="28"/>
          <w:szCs w:val="28"/>
        </w:rPr>
        <w:t xml:space="preserve">Відповідно до ст.293 Угоди, Сторони мають докладати зусиль у напрямі сприяння та заохочення використання збалансованих ВДЕ. Проте підтримка виробників електроенергії з ВДЕ Україні сьогодні стає недешевою. Ефективна екологізація економіки неможлива за відсутності єдиної узгодженої державної полі тики та належного інституційного забезпечення на державному та місцевому рівнях, та спроби перекласти фінансування з екологізації виробничих процесів на бізнес без впровадження економічних механізмів державного стимулювання екологізації економіки. </w:t>
      </w:r>
    </w:p>
    <w:p w14:paraId="0795F4A4" w14:textId="63524C33" w:rsidR="007C0E24" w:rsidRPr="007C0E24" w:rsidRDefault="007C0E24" w:rsidP="007C0E24">
      <w:pPr>
        <w:spacing w:after="0" w:line="240" w:lineRule="auto"/>
        <w:ind w:firstLine="709"/>
        <w:jc w:val="both"/>
        <w:rPr>
          <w:rFonts w:ascii="Cambria" w:hAnsi="Cambria" w:cstheme="minorHAnsi"/>
          <w:sz w:val="28"/>
          <w:szCs w:val="28"/>
        </w:rPr>
      </w:pPr>
      <w:r w:rsidRPr="007C0E24">
        <w:rPr>
          <w:rFonts w:ascii="Cambria" w:hAnsi="Cambria" w:cstheme="minorHAnsi"/>
          <w:sz w:val="28"/>
          <w:szCs w:val="28"/>
        </w:rPr>
        <w:t>Долучення до європейського зеленого курсу, з одного боку, це можливість посилити та диверсифікувати процес декарбонізації з-поміж галузей економіки, стимул України до розвитку взаємо- вигідних контактів з ЄС, здатних розкрити потенціал української економіки, з іншого – крок, що передбачає зобов’язання імплементації європейських кліматичних стандартів та проходження сертифікації виробництва вітчизняним бізнесом. Тут державі необхідно подбати про запровадження програм підтримки процесів екологізації, а бізнесу – про технологічну модернізацію. Принципово важливим є запровадження екосистемного підходу в управлінську діяльність підприємств України.</w:t>
      </w:r>
    </w:p>
    <w:p w14:paraId="08C86233" w14:textId="77777777" w:rsidR="002457CF" w:rsidRPr="007C0E24" w:rsidRDefault="002457CF" w:rsidP="002457CF">
      <w:pPr>
        <w:spacing w:after="0" w:line="240" w:lineRule="auto"/>
        <w:jc w:val="both"/>
        <w:rPr>
          <w:rFonts w:ascii="Cambria" w:hAnsi="Cambria" w:cstheme="minorHAnsi"/>
          <w:sz w:val="28"/>
          <w:szCs w:val="28"/>
        </w:rPr>
      </w:pPr>
    </w:p>
    <w:p w14:paraId="6ACB1B0D" w14:textId="77777777" w:rsidR="002457CF" w:rsidRPr="007C0E24" w:rsidRDefault="002457CF" w:rsidP="002457CF">
      <w:pPr>
        <w:spacing w:after="0" w:line="240" w:lineRule="auto"/>
        <w:jc w:val="both"/>
        <w:rPr>
          <w:rFonts w:ascii="Cambria" w:hAnsi="Cambria" w:cstheme="minorHAnsi"/>
          <w:sz w:val="28"/>
          <w:szCs w:val="28"/>
        </w:rPr>
      </w:pPr>
    </w:p>
    <w:p w14:paraId="1445A8A6" w14:textId="77777777" w:rsidR="002457CF" w:rsidRPr="007C0E24" w:rsidRDefault="002457CF" w:rsidP="002457CF">
      <w:pPr>
        <w:spacing w:after="0" w:line="240" w:lineRule="auto"/>
        <w:jc w:val="both"/>
        <w:rPr>
          <w:rFonts w:ascii="Cambria" w:hAnsi="Cambria" w:cstheme="minorHAnsi"/>
          <w:sz w:val="28"/>
          <w:szCs w:val="28"/>
        </w:rPr>
      </w:pPr>
    </w:p>
    <w:p w14:paraId="3A8A42C5" w14:textId="77777777" w:rsidR="002457CF" w:rsidRPr="007C0E24" w:rsidRDefault="002457CF" w:rsidP="002457CF">
      <w:pPr>
        <w:spacing w:after="0" w:line="240" w:lineRule="auto"/>
        <w:jc w:val="both"/>
        <w:rPr>
          <w:rFonts w:ascii="Cambria" w:hAnsi="Cambria" w:cstheme="minorHAnsi"/>
          <w:sz w:val="28"/>
          <w:szCs w:val="28"/>
        </w:rPr>
      </w:pPr>
    </w:p>
    <w:p w14:paraId="09E8A7B5" w14:textId="77777777" w:rsidR="002457CF" w:rsidRPr="007C0E24" w:rsidRDefault="002457CF" w:rsidP="002457CF">
      <w:pPr>
        <w:spacing w:after="0" w:line="240" w:lineRule="auto"/>
        <w:jc w:val="both"/>
        <w:rPr>
          <w:rFonts w:ascii="Cambria" w:hAnsi="Cambria" w:cstheme="minorHAnsi"/>
          <w:sz w:val="28"/>
          <w:szCs w:val="28"/>
        </w:rPr>
      </w:pPr>
    </w:p>
    <w:p w14:paraId="07C0F8FF" w14:textId="77777777" w:rsidR="002457CF" w:rsidRPr="007C0E24" w:rsidRDefault="002457CF" w:rsidP="002457CF">
      <w:pPr>
        <w:spacing w:after="0" w:line="240" w:lineRule="auto"/>
        <w:jc w:val="both"/>
        <w:rPr>
          <w:rFonts w:ascii="Cambria" w:hAnsi="Cambria" w:cstheme="minorHAnsi"/>
          <w:sz w:val="28"/>
          <w:szCs w:val="28"/>
        </w:rPr>
      </w:pPr>
    </w:p>
    <w:p w14:paraId="1EB65D6E" w14:textId="77777777" w:rsidR="002457CF" w:rsidRPr="007C0E24" w:rsidRDefault="002457CF" w:rsidP="002457CF">
      <w:pPr>
        <w:spacing w:after="0" w:line="240" w:lineRule="auto"/>
        <w:jc w:val="both"/>
        <w:rPr>
          <w:rFonts w:ascii="Cambria" w:hAnsi="Cambria" w:cstheme="minorHAnsi"/>
          <w:sz w:val="28"/>
          <w:szCs w:val="28"/>
        </w:rPr>
      </w:pPr>
    </w:p>
    <w:p w14:paraId="6C2AD6A0" w14:textId="77777777" w:rsidR="002457CF" w:rsidRPr="007C0E24" w:rsidRDefault="002457CF" w:rsidP="002457CF">
      <w:pPr>
        <w:spacing w:after="0" w:line="240" w:lineRule="auto"/>
        <w:jc w:val="both"/>
        <w:rPr>
          <w:rFonts w:ascii="Cambria" w:hAnsi="Cambria" w:cstheme="minorHAnsi"/>
          <w:sz w:val="28"/>
          <w:szCs w:val="28"/>
        </w:rPr>
      </w:pPr>
    </w:p>
    <w:p w14:paraId="29953F19" w14:textId="77777777" w:rsidR="002457CF" w:rsidRPr="007C0E24" w:rsidRDefault="002457CF" w:rsidP="002457CF">
      <w:pPr>
        <w:spacing w:after="0" w:line="240" w:lineRule="auto"/>
        <w:jc w:val="both"/>
        <w:rPr>
          <w:rFonts w:ascii="Cambria" w:hAnsi="Cambria" w:cstheme="minorHAnsi"/>
          <w:sz w:val="28"/>
          <w:szCs w:val="28"/>
        </w:rPr>
      </w:pPr>
    </w:p>
    <w:p w14:paraId="3B8794C8" w14:textId="77777777" w:rsidR="002457CF" w:rsidRPr="007C0E24" w:rsidRDefault="002457CF" w:rsidP="002457CF">
      <w:pPr>
        <w:spacing w:after="0" w:line="240" w:lineRule="auto"/>
        <w:jc w:val="both"/>
        <w:rPr>
          <w:rFonts w:ascii="Cambria" w:hAnsi="Cambria" w:cstheme="minorHAnsi"/>
          <w:sz w:val="28"/>
          <w:szCs w:val="28"/>
        </w:rPr>
      </w:pPr>
    </w:p>
    <w:p w14:paraId="141BD422" w14:textId="77777777" w:rsidR="002457CF" w:rsidRPr="007C0E24" w:rsidRDefault="002457CF" w:rsidP="002457CF">
      <w:pPr>
        <w:spacing w:after="0" w:line="240" w:lineRule="auto"/>
        <w:jc w:val="both"/>
        <w:rPr>
          <w:rFonts w:ascii="Cambria" w:hAnsi="Cambria" w:cstheme="minorHAnsi"/>
          <w:sz w:val="28"/>
          <w:szCs w:val="28"/>
        </w:rPr>
      </w:pPr>
    </w:p>
    <w:p w14:paraId="1916C7AD" w14:textId="77777777" w:rsidR="002457CF" w:rsidRPr="007C0E24" w:rsidRDefault="002457CF" w:rsidP="002457CF">
      <w:pPr>
        <w:spacing w:after="0" w:line="240" w:lineRule="auto"/>
        <w:jc w:val="both"/>
        <w:rPr>
          <w:rFonts w:ascii="Cambria" w:hAnsi="Cambria" w:cstheme="minorHAnsi"/>
          <w:sz w:val="28"/>
          <w:szCs w:val="28"/>
        </w:rPr>
      </w:pPr>
    </w:p>
    <w:p w14:paraId="34EA5012" w14:textId="77777777" w:rsidR="002457CF" w:rsidRDefault="002457CF" w:rsidP="002457CF">
      <w:pPr>
        <w:spacing w:after="0" w:line="240" w:lineRule="auto"/>
        <w:jc w:val="both"/>
        <w:rPr>
          <w:rFonts w:ascii="Cambria" w:hAnsi="Cambria" w:cstheme="minorHAnsi"/>
          <w:sz w:val="28"/>
          <w:szCs w:val="28"/>
        </w:rPr>
      </w:pPr>
    </w:p>
    <w:p w14:paraId="74A3C8A9" w14:textId="77777777" w:rsidR="002457CF" w:rsidRDefault="002457CF" w:rsidP="002457CF">
      <w:pPr>
        <w:spacing w:after="0" w:line="240" w:lineRule="auto"/>
        <w:jc w:val="both"/>
        <w:rPr>
          <w:rFonts w:ascii="Cambria" w:hAnsi="Cambria" w:cstheme="minorHAnsi"/>
          <w:sz w:val="28"/>
          <w:szCs w:val="28"/>
        </w:rPr>
      </w:pPr>
    </w:p>
    <w:p w14:paraId="5FC74C92" w14:textId="77777777" w:rsidR="002457CF" w:rsidRDefault="002457CF" w:rsidP="002457CF">
      <w:pPr>
        <w:spacing w:after="0" w:line="240" w:lineRule="auto"/>
        <w:jc w:val="both"/>
        <w:rPr>
          <w:rFonts w:ascii="Cambria" w:hAnsi="Cambria" w:cstheme="minorHAnsi"/>
          <w:sz w:val="28"/>
          <w:szCs w:val="28"/>
        </w:rPr>
      </w:pPr>
    </w:p>
    <w:p w14:paraId="2C65C03A" w14:textId="77777777" w:rsidR="002457CF" w:rsidRDefault="002457CF" w:rsidP="002457CF">
      <w:pPr>
        <w:spacing w:after="0" w:line="240" w:lineRule="auto"/>
        <w:jc w:val="both"/>
        <w:rPr>
          <w:rFonts w:ascii="Cambria" w:hAnsi="Cambria" w:cstheme="minorHAnsi"/>
          <w:sz w:val="28"/>
          <w:szCs w:val="28"/>
        </w:rPr>
      </w:pPr>
    </w:p>
    <w:p w14:paraId="5BEC834D" w14:textId="77777777" w:rsidR="002457CF" w:rsidRDefault="002457CF" w:rsidP="002457CF">
      <w:pPr>
        <w:spacing w:after="0" w:line="240" w:lineRule="auto"/>
        <w:jc w:val="both"/>
        <w:rPr>
          <w:rFonts w:ascii="Cambria" w:hAnsi="Cambria" w:cstheme="minorHAnsi"/>
          <w:sz w:val="28"/>
          <w:szCs w:val="28"/>
        </w:rPr>
      </w:pPr>
    </w:p>
    <w:p w14:paraId="1C3A202A" w14:textId="77777777" w:rsidR="002457CF" w:rsidRDefault="002457CF" w:rsidP="002457CF">
      <w:pPr>
        <w:spacing w:after="0" w:line="240" w:lineRule="auto"/>
        <w:jc w:val="both"/>
        <w:rPr>
          <w:rFonts w:ascii="Cambria" w:hAnsi="Cambria" w:cstheme="minorHAnsi"/>
          <w:sz w:val="28"/>
          <w:szCs w:val="28"/>
        </w:rPr>
      </w:pPr>
    </w:p>
    <w:p w14:paraId="355FAB78" w14:textId="77777777" w:rsidR="002457CF" w:rsidRDefault="002457CF" w:rsidP="002457CF">
      <w:pPr>
        <w:spacing w:after="0" w:line="240" w:lineRule="auto"/>
        <w:jc w:val="both"/>
        <w:rPr>
          <w:rFonts w:ascii="Cambria" w:hAnsi="Cambria" w:cstheme="minorHAnsi"/>
          <w:sz w:val="28"/>
          <w:szCs w:val="28"/>
        </w:rPr>
      </w:pPr>
    </w:p>
    <w:p w14:paraId="288D0983" w14:textId="77777777" w:rsidR="002457CF" w:rsidRDefault="002457CF" w:rsidP="002457CF">
      <w:pPr>
        <w:spacing w:after="0" w:line="240" w:lineRule="auto"/>
        <w:jc w:val="both"/>
        <w:rPr>
          <w:rFonts w:ascii="Cambria" w:hAnsi="Cambria" w:cstheme="minorHAnsi"/>
          <w:sz w:val="28"/>
          <w:szCs w:val="28"/>
        </w:rPr>
      </w:pPr>
    </w:p>
    <w:p w14:paraId="754DD07A" w14:textId="77777777" w:rsidR="002457CF" w:rsidRDefault="002457CF" w:rsidP="002457CF">
      <w:pPr>
        <w:spacing w:after="0" w:line="240" w:lineRule="auto"/>
        <w:jc w:val="both"/>
        <w:rPr>
          <w:rFonts w:ascii="Cambria" w:hAnsi="Cambria" w:cstheme="minorHAnsi"/>
          <w:sz w:val="28"/>
          <w:szCs w:val="28"/>
        </w:rPr>
      </w:pPr>
    </w:p>
    <w:p w14:paraId="531C095D" w14:textId="77777777" w:rsidR="002457CF" w:rsidRDefault="002457CF" w:rsidP="002457CF">
      <w:pPr>
        <w:spacing w:after="0" w:line="240" w:lineRule="auto"/>
        <w:jc w:val="both"/>
        <w:rPr>
          <w:rFonts w:ascii="Cambria" w:hAnsi="Cambria" w:cstheme="minorHAnsi"/>
          <w:sz w:val="28"/>
          <w:szCs w:val="28"/>
        </w:rPr>
      </w:pPr>
    </w:p>
    <w:p w14:paraId="17698CCB" w14:textId="77777777" w:rsidR="002457CF" w:rsidRDefault="002457CF" w:rsidP="002457CF">
      <w:pPr>
        <w:spacing w:after="0" w:line="240" w:lineRule="auto"/>
        <w:jc w:val="both"/>
        <w:rPr>
          <w:rFonts w:ascii="Cambria" w:hAnsi="Cambria" w:cstheme="minorHAnsi"/>
          <w:sz w:val="28"/>
          <w:szCs w:val="28"/>
        </w:rPr>
      </w:pPr>
    </w:p>
    <w:p w14:paraId="2346C35D" w14:textId="77777777" w:rsidR="002457CF" w:rsidRDefault="002457CF" w:rsidP="002457CF">
      <w:pPr>
        <w:spacing w:after="0" w:line="240" w:lineRule="auto"/>
        <w:jc w:val="both"/>
        <w:rPr>
          <w:rFonts w:ascii="Cambria" w:hAnsi="Cambria" w:cstheme="minorHAnsi"/>
          <w:sz w:val="28"/>
          <w:szCs w:val="28"/>
        </w:rPr>
      </w:pPr>
    </w:p>
    <w:p w14:paraId="575F1849" w14:textId="77777777" w:rsidR="002457CF" w:rsidRDefault="002457CF" w:rsidP="002457CF">
      <w:pPr>
        <w:spacing w:after="0" w:line="240" w:lineRule="auto"/>
        <w:jc w:val="both"/>
        <w:rPr>
          <w:rFonts w:ascii="Cambria" w:hAnsi="Cambria" w:cstheme="minorHAnsi"/>
          <w:sz w:val="28"/>
          <w:szCs w:val="28"/>
        </w:rPr>
      </w:pPr>
    </w:p>
    <w:p w14:paraId="30CC58B7" w14:textId="77777777" w:rsidR="002457CF" w:rsidRDefault="002457CF" w:rsidP="002457CF">
      <w:pPr>
        <w:spacing w:after="0" w:line="240" w:lineRule="auto"/>
        <w:jc w:val="both"/>
        <w:rPr>
          <w:rFonts w:ascii="Cambria" w:hAnsi="Cambria" w:cstheme="minorHAnsi"/>
          <w:sz w:val="28"/>
          <w:szCs w:val="28"/>
        </w:rPr>
      </w:pPr>
    </w:p>
    <w:p w14:paraId="4887A176" w14:textId="77777777" w:rsidR="002457CF" w:rsidRDefault="002457CF" w:rsidP="002457CF">
      <w:pPr>
        <w:spacing w:after="0" w:line="240" w:lineRule="auto"/>
        <w:jc w:val="both"/>
        <w:rPr>
          <w:rFonts w:ascii="Cambria" w:hAnsi="Cambria" w:cstheme="minorHAnsi"/>
          <w:sz w:val="28"/>
          <w:szCs w:val="28"/>
        </w:rPr>
      </w:pPr>
    </w:p>
    <w:p w14:paraId="30B88334" w14:textId="77777777" w:rsidR="002457CF" w:rsidRDefault="002457CF" w:rsidP="002457CF">
      <w:pPr>
        <w:spacing w:after="0" w:line="240" w:lineRule="auto"/>
        <w:jc w:val="both"/>
        <w:rPr>
          <w:rFonts w:ascii="Cambria" w:hAnsi="Cambria" w:cstheme="minorHAnsi"/>
          <w:sz w:val="28"/>
          <w:szCs w:val="28"/>
        </w:rPr>
      </w:pPr>
    </w:p>
    <w:p w14:paraId="3679DEEB" w14:textId="77777777" w:rsidR="002457CF" w:rsidRDefault="002457CF" w:rsidP="002457CF">
      <w:pPr>
        <w:spacing w:after="0" w:line="240" w:lineRule="auto"/>
        <w:jc w:val="both"/>
        <w:rPr>
          <w:rFonts w:ascii="Cambria" w:hAnsi="Cambria" w:cstheme="minorHAnsi"/>
          <w:sz w:val="28"/>
          <w:szCs w:val="28"/>
        </w:rPr>
      </w:pPr>
    </w:p>
    <w:p w14:paraId="7FB49821" w14:textId="77777777" w:rsidR="002457CF" w:rsidRDefault="002457CF" w:rsidP="002457CF">
      <w:pPr>
        <w:spacing w:after="0" w:line="240" w:lineRule="auto"/>
        <w:jc w:val="both"/>
        <w:rPr>
          <w:rFonts w:ascii="Cambria" w:hAnsi="Cambria" w:cstheme="minorHAnsi"/>
          <w:sz w:val="28"/>
          <w:szCs w:val="28"/>
        </w:rPr>
      </w:pPr>
    </w:p>
    <w:p w14:paraId="1AE772CB" w14:textId="77777777" w:rsidR="002457CF" w:rsidRDefault="002457CF" w:rsidP="002457CF">
      <w:pPr>
        <w:spacing w:after="0" w:line="240" w:lineRule="auto"/>
        <w:jc w:val="both"/>
        <w:rPr>
          <w:rFonts w:ascii="Cambria" w:hAnsi="Cambria" w:cstheme="minorHAnsi"/>
          <w:sz w:val="28"/>
          <w:szCs w:val="28"/>
        </w:rPr>
      </w:pPr>
    </w:p>
    <w:p w14:paraId="6E4D3517" w14:textId="77777777" w:rsidR="002457CF" w:rsidRDefault="002457CF" w:rsidP="002457CF">
      <w:pPr>
        <w:spacing w:after="0" w:line="240" w:lineRule="auto"/>
        <w:jc w:val="both"/>
        <w:rPr>
          <w:rFonts w:ascii="Cambria" w:hAnsi="Cambria" w:cstheme="minorHAnsi"/>
          <w:sz w:val="28"/>
          <w:szCs w:val="28"/>
        </w:rPr>
      </w:pPr>
    </w:p>
    <w:p w14:paraId="058834FB" w14:textId="77777777" w:rsidR="002457CF" w:rsidRDefault="002457CF" w:rsidP="002457CF">
      <w:pPr>
        <w:spacing w:after="0" w:line="240" w:lineRule="auto"/>
        <w:jc w:val="both"/>
        <w:rPr>
          <w:rFonts w:ascii="Cambria" w:hAnsi="Cambria" w:cstheme="minorHAnsi"/>
          <w:sz w:val="28"/>
          <w:szCs w:val="28"/>
        </w:rPr>
      </w:pPr>
    </w:p>
    <w:p w14:paraId="2620AEE3" w14:textId="77777777" w:rsidR="002457CF" w:rsidRDefault="002457CF" w:rsidP="002457CF">
      <w:pPr>
        <w:spacing w:after="0" w:line="240" w:lineRule="auto"/>
        <w:jc w:val="both"/>
        <w:rPr>
          <w:rFonts w:ascii="Cambria" w:hAnsi="Cambria" w:cstheme="minorHAnsi"/>
          <w:sz w:val="28"/>
          <w:szCs w:val="28"/>
        </w:rPr>
      </w:pPr>
    </w:p>
    <w:p w14:paraId="512C31C7" w14:textId="77777777" w:rsidR="002457CF" w:rsidRDefault="002457CF" w:rsidP="002457CF">
      <w:pPr>
        <w:spacing w:after="0" w:line="240" w:lineRule="auto"/>
        <w:jc w:val="both"/>
        <w:rPr>
          <w:rFonts w:ascii="Cambria" w:hAnsi="Cambria" w:cstheme="minorHAnsi"/>
          <w:sz w:val="28"/>
          <w:szCs w:val="28"/>
        </w:rPr>
      </w:pPr>
    </w:p>
    <w:p w14:paraId="389E0EAC" w14:textId="77777777" w:rsidR="002457CF" w:rsidRDefault="002457CF" w:rsidP="002457CF">
      <w:pPr>
        <w:spacing w:after="0" w:line="240" w:lineRule="auto"/>
        <w:jc w:val="both"/>
        <w:rPr>
          <w:rFonts w:ascii="Cambria" w:hAnsi="Cambria" w:cstheme="minorHAnsi"/>
          <w:sz w:val="28"/>
          <w:szCs w:val="28"/>
        </w:rPr>
      </w:pPr>
    </w:p>
    <w:p w14:paraId="4A3C40BB" w14:textId="77777777" w:rsidR="002457CF" w:rsidRDefault="002457CF" w:rsidP="002457CF">
      <w:pPr>
        <w:spacing w:after="0" w:line="240" w:lineRule="auto"/>
        <w:jc w:val="both"/>
        <w:rPr>
          <w:rFonts w:ascii="Cambria" w:hAnsi="Cambria" w:cstheme="minorHAnsi"/>
          <w:sz w:val="28"/>
          <w:szCs w:val="28"/>
        </w:rPr>
      </w:pPr>
    </w:p>
    <w:p w14:paraId="0D2D71CE" w14:textId="77777777" w:rsidR="002457CF" w:rsidRDefault="002457CF" w:rsidP="002457CF">
      <w:pPr>
        <w:spacing w:after="0" w:line="240" w:lineRule="auto"/>
        <w:jc w:val="both"/>
        <w:rPr>
          <w:rFonts w:ascii="Cambria" w:hAnsi="Cambria" w:cstheme="minorHAnsi"/>
          <w:sz w:val="28"/>
          <w:szCs w:val="28"/>
        </w:rPr>
      </w:pPr>
    </w:p>
    <w:p w14:paraId="2748DF80" w14:textId="77777777" w:rsidR="002457CF" w:rsidRDefault="002457CF" w:rsidP="002457CF">
      <w:pPr>
        <w:spacing w:after="0" w:line="240" w:lineRule="auto"/>
        <w:jc w:val="both"/>
        <w:rPr>
          <w:rFonts w:ascii="Cambria" w:hAnsi="Cambria" w:cstheme="minorHAnsi"/>
          <w:sz w:val="28"/>
          <w:szCs w:val="28"/>
        </w:rPr>
      </w:pPr>
    </w:p>
    <w:p w14:paraId="3BDE04C1" w14:textId="77777777" w:rsidR="002457CF" w:rsidRDefault="002457CF" w:rsidP="002457CF">
      <w:pPr>
        <w:spacing w:after="0" w:line="240" w:lineRule="auto"/>
        <w:jc w:val="both"/>
        <w:rPr>
          <w:rFonts w:ascii="Cambria" w:hAnsi="Cambria" w:cstheme="minorHAnsi"/>
          <w:sz w:val="28"/>
          <w:szCs w:val="28"/>
        </w:rPr>
      </w:pPr>
    </w:p>
    <w:p w14:paraId="11180BE1" w14:textId="77777777" w:rsidR="002457CF" w:rsidRDefault="002457CF" w:rsidP="002457CF">
      <w:pPr>
        <w:spacing w:after="0" w:line="240" w:lineRule="auto"/>
        <w:jc w:val="both"/>
        <w:rPr>
          <w:rFonts w:ascii="Cambria" w:hAnsi="Cambria" w:cstheme="minorHAnsi"/>
          <w:sz w:val="28"/>
          <w:szCs w:val="28"/>
        </w:rPr>
      </w:pPr>
    </w:p>
    <w:p w14:paraId="40382D20" w14:textId="77777777" w:rsidR="002457CF" w:rsidRPr="00923167" w:rsidRDefault="002457CF" w:rsidP="002457CF">
      <w:pPr>
        <w:spacing w:after="0" w:line="240" w:lineRule="auto"/>
        <w:jc w:val="both"/>
        <w:rPr>
          <w:rFonts w:ascii="Cambria" w:hAnsi="Cambria" w:cstheme="minorHAnsi"/>
          <w:sz w:val="28"/>
          <w:szCs w:val="28"/>
        </w:rPr>
      </w:pPr>
    </w:p>
    <w:sectPr w:rsidR="002457CF" w:rsidRPr="009231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6B0"/>
    <w:multiLevelType w:val="hybridMultilevel"/>
    <w:tmpl w:val="3ED27F7E"/>
    <w:lvl w:ilvl="0" w:tplc="624A129C">
      <w:numFmt w:val="bullet"/>
      <w:lvlText w:val="•"/>
      <w:lvlJc w:val="left"/>
      <w:pPr>
        <w:ind w:left="720" w:hanging="360"/>
      </w:pPr>
      <w:rPr>
        <w:rFonts w:ascii="Cambria" w:eastAsiaTheme="minorHAnsi" w:hAnsi="Cambria" w:cstheme="min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329D5E3D"/>
    <w:multiLevelType w:val="hybridMultilevel"/>
    <w:tmpl w:val="A08CA5E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3E91CCB"/>
    <w:multiLevelType w:val="hybridMultilevel"/>
    <w:tmpl w:val="CDA8622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4AD22D9B"/>
    <w:multiLevelType w:val="hybridMultilevel"/>
    <w:tmpl w:val="E8DE519C"/>
    <w:lvl w:ilvl="0" w:tplc="505EBE06">
      <w:start w:val="1"/>
      <w:numFmt w:val="bullet"/>
      <w:lvlText w:val=""/>
      <w:lvlJc w:val="left"/>
      <w:pPr>
        <w:ind w:left="1429" w:hanging="360"/>
      </w:pPr>
      <w:rPr>
        <w:rFonts w:ascii="Symbol" w:hAnsi="Symbol" w:hint="default"/>
      </w:rPr>
    </w:lvl>
    <w:lvl w:ilvl="1" w:tplc="10000003" w:tentative="1">
      <w:start w:val="1"/>
      <w:numFmt w:val="bullet"/>
      <w:lvlText w:val="o"/>
      <w:lvlJc w:val="left"/>
      <w:pPr>
        <w:ind w:left="2149" w:hanging="360"/>
      </w:pPr>
      <w:rPr>
        <w:rFonts w:ascii="Courier New" w:hAnsi="Courier New" w:cs="Courier New" w:hint="default"/>
      </w:rPr>
    </w:lvl>
    <w:lvl w:ilvl="2" w:tplc="10000005" w:tentative="1">
      <w:start w:val="1"/>
      <w:numFmt w:val="bullet"/>
      <w:lvlText w:val=""/>
      <w:lvlJc w:val="left"/>
      <w:pPr>
        <w:ind w:left="2869" w:hanging="360"/>
      </w:pPr>
      <w:rPr>
        <w:rFonts w:ascii="Wingdings" w:hAnsi="Wingdings" w:hint="default"/>
      </w:rPr>
    </w:lvl>
    <w:lvl w:ilvl="3" w:tplc="10000001" w:tentative="1">
      <w:start w:val="1"/>
      <w:numFmt w:val="bullet"/>
      <w:lvlText w:val=""/>
      <w:lvlJc w:val="left"/>
      <w:pPr>
        <w:ind w:left="3589" w:hanging="360"/>
      </w:pPr>
      <w:rPr>
        <w:rFonts w:ascii="Symbol" w:hAnsi="Symbol" w:hint="default"/>
      </w:rPr>
    </w:lvl>
    <w:lvl w:ilvl="4" w:tplc="10000003" w:tentative="1">
      <w:start w:val="1"/>
      <w:numFmt w:val="bullet"/>
      <w:lvlText w:val="o"/>
      <w:lvlJc w:val="left"/>
      <w:pPr>
        <w:ind w:left="4309" w:hanging="360"/>
      </w:pPr>
      <w:rPr>
        <w:rFonts w:ascii="Courier New" w:hAnsi="Courier New" w:cs="Courier New" w:hint="default"/>
      </w:rPr>
    </w:lvl>
    <w:lvl w:ilvl="5" w:tplc="10000005" w:tentative="1">
      <w:start w:val="1"/>
      <w:numFmt w:val="bullet"/>
      <w:lvlText w:val=""/>
      <w:lvlJc w:val="left"/>
      <w:pPr>
        <w:ind w:left="5029" w:hanging="360"/>
      </w:pPr>
      <w:rPr>
        <w:rFonts w:ascii="Wingdings" w:hAnsi="Wingdings" w:hint="default"/>
      </w:rPr>
    </w:lvl>
    <w:lvl w:ilvl="6" w:tplc="10000001" w:tentative="1">
      <w:start w:val="1"/>
      <w:numFmt w:val="bullet"/>
      <w:lvlText w:val=""/>
      <w:lvlJc w:val="left"/>
      <w:pPr>
        <w:ind w:left="5749" w:hanging="360"/>
      </w:pPr>
      <w:rPr>
        <w:rFonts w:ascii="Symbol" w:hAnsi="Symbol" w:hint="default"/>
      </w:rPr>
    </w:lvl>
    <w:lvl w:ilvl="7" w:tplc="10000003" w:tentative="1">
      <w:start w:val="1"/>
      <w:numFmt w:val="bullet"/>
      <w:lvlText w:val="o"/>
      <w:lvlJc w:val="left"/>
      <w:pPr>
        <w:ind w:left="6469" w:hanging="360"/>
      </w:pPr>
      <w:rPr>
        <w:rFonts w:ascii="Courier New" w:hAnsi="Courier New" w:cs="Courier New" w:hint="default"/>
      </w:rPr>
    </w:lvl>
    <w:lvl w:ilvl="8" w:tplc="10000005" w:tentative="1">
      <w:start w:val="1"/>
      <w:numFmt w:val="bullet"/>
      <w:lvlText w:val=""/>
      <w:lvlJc w:val="left"/>
      <w:pPr>
        <w:ind w:left="7189" w:hanging="360"/>
      </w:pPr>
      <w:rPr>
        <w:rFonts w:ascii="Wingdings" w:hAnsi="Wingdings" w:hint="default"/>
      </w:rPr>
    </w:lvl>
  </w:abstractNum>
  <w:abstractNum w:abstractNumId="4" w15:restartNumberingAfterBreak="0">
    <w:nsid w:val="4B8D2E60"/>
    <w:multiLevelType w:val="hybridMultilevel"/>
    <w:tmpl w:val="C48A647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59530923"/>
    <w:multiLevelType w:val="hybridMultilevel"/>
    <w:tmpl w:val="C3BA614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6F310692"/>
    <w:multiLevelType w:val="hybridMultilevel"/>
    <w:tmpl w:val="8ED86B44"/>
    <w:lvl w:ilvl="0" w:tplc="F2789848">
      <w:start w:val="1"/>
      <w:numFmt w:val="decimal"/>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num w:numId="1" w16cid:durableId="412632721">
    <w:abstractNumId w:val="2"/>
  </w:num>
  <w:num w:numId="2" w16cid:durableId="1805780694">
    <w:abstractNumId w:val="6"/>
  </w:num>
  <w:num w:numId="3" w16cid:durableId="1782608695">
    <w:abstractNumId w:val="5"/>
  </w:num>
  <w:num w:numId="4" w16cid:durableId="1939603921">
    <w:abstractNumId w:val="4"/>
  </w:num>
  <w:num w:numId="5" w16cid:durableId="2144494630">
    <w:abstractNumId w:val="1"/>
  </w:num>
  <w:num w:numId="6" w16cid:durableId="483855618">
    <w:abstractNumId w:val="3"/>
  </w:num>
  <w:num w:numId="7" w16cid:durableId="429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72"/>
    <w:rsid w:val="00042873"/>
    <w:rsid w:val="000743FE"/>
    <w:rsid w:val="000D5482"/>
    <w:rsid w:val="001E7A30"/>
    <w:rsid w:val="00243D66"/>
    <w:rsid w:val="002457CF"/>
    <w:rsid w:val="00333F56"/>
    <w:rsid w:val="004B7DAE"/>
    <w:rsid w:val="00624FC8"/>
    <w:rsid w:val="00681E2E"/>
    <w:rsid w:val="00687F9D"/>
    <w:rsid w:val="006C0420"/>
    <w:rsid w:val="00712CC4"/>
    <w:rsid w:val="007C0E24"/>
    <w:rsid w:val="008A22EC"/>
    <w:rsid w:val="00923167"/>
    <w:rsid w:val="009326A0"/>
    <w:rsid w:val="00961919"/>
    <w:rsid w:val="009938B8"/>
    <w:rsid w:val="009B7C72"/>
    <w:rsid w:val="009E56F0"/>
    <w:rsid w:val="00A65CA6"/>
    <w:rsid w:val="00AD6111"/>
    <w:rsid w:val="00B36876"/>
    <w:rsid w:val="00B57726"/>
    <w:rsid w:val="00B6450A"/>
    <w:rsid w:val="00CA6519"/>
    <w:rsid w:val="00D120F8"/>
    <w:rsid w:val="00DB7AF0"/>
    <w:rsid w:val="00EA5A91"/>
    <w:rsid w:val="00ED6754"/>
    <w:rsid w:val="00EF3969"/>
    <w:rsid w:val="00F14B31"/>
    <w:rsid w:val="00FC53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6C60"/>
  <w15:chartTrackingRefBased/>
  <w15:docId w15:val="{11EE4DAA-7AD1-443D-A923-A9976BB4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9B7C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B7C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B7C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B7C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B7C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B7C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7C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7C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7C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7C72"/>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9B7C72"/>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9B7C72"/>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9B7C72"/>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9B7C72"/>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9B7C72"/>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9B7C72"/>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9B7C72"/>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9B7C72"/>
    <w:rPr>
      <w:rFonts w:eastAsiaTheme="majorEastAsia" w:cstheme="majorBidi"/>
      <w:color w:val="272727" w:themeColor="text1" w:themeTint="D8"/>
      <w:lang w:val="uk-UA"/>
    </w:rPr>
  </w:style>
  <w:style w:type="paragraph" w:styleId="a3">
    <w:name w:val="Title"/>
    <w:basedOn w:val="a"/>
    <w:next w:val="a"/>
    <w:link w:val="a4"/>
    <w:uiPriority w:val="10"/>
    <w:qFormat/>
    <w:rsid w:val="009B7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7C72"/>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9B7C7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7C72"/>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9B7C72"/>
    <w:pPr>
      <w:spacing w:before="160"/>
      <w:jc w:val="center"/>
    </w:pPr>
    <w:rPr>
      <w:i/>
      <w:iCs/>
      <w:color w:val="404040" w:themeColor="text1" w:themeTint="BF"/>
    </w:rPr>
  </w:style>
  <w:style w:type="character" w:customStyle="1" w:styleId="a8">
    <w:name w:val="Цитата Знак"/>
    <w:basedOn w:val="a0"/>
    <w:link w:val="a7"/>
    <w:uiPriority w:val="29"/>
    <w:rsid w:val="009B7C72"/>
    <w:rPr>
      <w:i/>
      <w:iCs/>
      <w:color w:val="404040" w:themeColor="text1" w:themeTint="BF"/>
      <w:lang w:val="uk-UA"/>
    </w:rPr>
  </w:style>
  <w:style w:type="paragraph" w:styleId="a9">
    <w:name w:val="List Paragraph"/>
    <w:basedOn w:val="a"/>
    <w:uiPriority w:val="34"/>
    <w:qFormat/>
    <w:rsid w:val="009B7C72"/>
    <w:pPr>
      <w:ind w:left="720"/>
      <w:contextualSpacing/>
    </w:pPr>
  </w:style>
  <w:style w:type="character" w:styleId="aa">
    <w:name w:val="Intense Emphasis"/>
    <w:basedOn w:val="a0"/>
    <w:uiPriority w:val="21"/>
    <w:qFormat/>
    <w:rsid w:val="009B7C72"/>
    <w:rPr>
      <w:i/>
      <w:iCs/>
      <w:color w:val="2F5496" w:themeColor="accent1" w:themeShade="BF"/>
    </w:rPr>
  </w:style>
  <w:style w:type="paragraph" w:styleId="ab">
    <w:name w:val="Intense Quote"/>
    <w:basedOn w:val="a"/>
    <w:next w:val="a"/>
    <w:link w:val="ac"/>
    <w:uiPriority w:val="30"/>
    <w:qFormat/>
    <w:rsid w:val="009B7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9B7C72"/>
    <w:rPr>
      <w:i/>
      <w:iCs/>
      <w:color w:val="2F5496" w:themeColor="accent1" w:themeShade="BF"/>
      <w:lang w:val="uk-UA"/>
    </w:rPr>
  </w:style>
  <w:style w:type="character" w:styleId="ad">
    <w:name w:val="Intense Reference"/>
    <w:basedOn w:val="a0"/>
    <w:uiPriority w:val="32"/>
    <w:qFormat/>
    <w:rsid w:val="009B7C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21</Pages>
  <Words>8195</Words>
  <Characters>46712</Characters>
  <Application>Microsoft Office Word</Application>
  <DocSecurity>0</DocSecurity>
  <Lines>389</Lines>
  <Paragraphs>109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Метеленко</dc:creator>
  <cp:keywords/>
  <dc:description/>
  <cp:lastModifiedBy>Наталья Метеленко</cp:lastModifiedBy>
  <cp:revision>25</cp:revision>
  <dcterms:created xsi:type="dcterms:W3CDTF">2025-10-03T17:29:00Z</dcterms:created>
  <dcterms:modified xsi:type="dcterms:W3CDTF">2025-10-05T10:09:00Z</dcterms:modified>
</cp:coreProperties>
</file>