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7C47" w14:textId="5C107B05" w:rsidR="00DB7AF0" w:rsidRDefault="00B15687" w:rsidP="00B1568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ПІДСУМКОВИЙ ТЕСТ</w:t>
      </w:r>
    </w:p>
    <w:p w14:paraId="7163C08E" w14:textId="77777777" w:rsid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7B9DAE0C" w14:textId="5261975C" w:rsidR="00B15687" w:rsidRPr="00B15687" w:rsidRDefault="00B15687" w:rsidP="00B1568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6B2AF3F3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1.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 До найбільш чітко сформульованих шкіл західноєвропейської інтеграції  належать:</w:t>
      </w:r>
    </w:p>
    <w:p w14:paraId="69DD9933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Реалістична інтеграція</w:t>
      </w:r>
    </w:p>
    <w:p w14:paraId="754B3754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Соціалістична інтеграція</w:t>
      </w:r>
    </w:p>
    <w:p w14:paraId="619690B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Ідеалістична інтеграція</w:t>
      </w:r>
    </w:p>
    <w:p w14:paraId="683BB358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Капіталістична інтеграція</w:t>
      </w:r>
    </w:p>
    <w:p w14:paraId="555C2D81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2.</w:t>
      </w:r>
      <w:r w:rsidRPr="00B15687">
        <w:rPr>
          <w:rFonts w:ascii="Cambria" w:hAnsi="Cambria"/>
          <w:b/>
          <w:bCs/>
          <w:sz w:val="28"/>
          <w:szCs w:val="28"/>
        </w:rPr>
        <w:tab/>
        <w:t>У межах системного підходу до інтеграційної взаємодії дер-жав виокремлюють:</w:t>
      </w:r>
    </w:p>
    <w:p w14:paraId="4C4A9557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Реальну інтеграцію</w:t>
      </w:r>
    </w:p>
    <w:p w14:paraId="644FFE86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Функціональну інтеграцію</w:t>
      </w:r>
    </w:p>
    <w:p w14:paraId="6BE4454D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Інституціональну інтеграцію</w:t>
      </w:r>
    </w:p>
    <w:p w14:paraId="2F43870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відповіді.</w:t>
      </w:r>
    </w:p>
    <w:p w14:paraId="4C9FA1F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3.</w:t>
      </w:r>
      <w:r w:rsidRPr="00B15687">
        <w:rPr>
          <w:rFonts w:ascii="Cambria" w:hAnsi="Cambria"/>
          <w:b/>
          <w:bCs/>
          <w:sz w:val="28"/>
          <w:szCs w:val="28"/>
        </w:rPr>
        <w:tab/>
        <w:t>Інтеграція, що втілюється через інтенсивність формування та поглиблення економічних зав’язків національних економі-чних систем на різних рівнях, а також через розширення по-літичних та суспільних контактів це:</w:t>
      </w:r>
    </w:p>
    <w:p w14:paraId="2315175C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Реальна інтеграція</w:t>
      </w:r>
    </w:p>
    <w:p w14:paraId="7B2DF8B7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Функціональна інтеграція </w:t>
      </w:r>
    </w:p>
    <w:p w14:paraId="2DAB6B9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Інституціональна інтеграція</w:t>
      </w:r>
    </w:p>
    <w:p w14:paraId="244B0A92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Економічна інтеграція</w:t>
      </w:r>
    </w:p>
    <w:p w14:paraId="6DE15BE7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4.</w:t>
      </w:r>
      <w:r w:rsidRPr="00B15687">
        <w:rPr>
          <w:rFonts w:ascii="Cambria" w:hAnsi="Cambria"/>
          <w:b/>
          <w:bCs/>
          <w:sz w:val="28"/>
          <w:szCs w:val="28"/>
        </w:rPr>
        <w:tab/>
        <w:t>Інтеграція яка передбачає формування механізмів взаємодії в економічній, політичній, інституціонально-правовій, соціаль-ній та інших сферах це:</w:t>
      </w:r>
    </w:p>
    <w:p w14:paraId="798F9717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Реальна інтеграція</w:t>
      </w:r>
    </w:p>
    <w:p w14:paraId="14A43609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Функціональна інтеграція </w:t>
      </w:r>
    </w:p>
    <w:p w14:paraId="7AB9A14D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Інституціональна інтеграція</w:t>
      </w:r>
    </w:p>
    <w:p w14:paraId="3E6E035B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Економічна інтеграція</w:t>
      </w:r>
    </w:p>
    <w:p w14:paraId="1D83819E" w14:textId="697C1DEE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5.</w:t>
      </w:r>
      <w:r w:rsidRPr="00B15687">
        <w:rPr>
          <w:rFonts w:ascii="Cambria" w:hAnsi="Cambria"/>
          <w:b/>
          <w:bCs/>
          <w:sz w:val="28"/>
          <w:szCs w:val="28"/>
        </w:rPr>
        <w:tab/>
        <w:t>Інтеграція при якій виконується процес встановлення та розширення інституціональних-інструментальних та адміністративних зв’язків, правового оформлення поглиблення взаємодії держав, тобто створення інституціонального середо-вища це:</w:t>
      </w:r>
    </w:p>
    <w:p w14:paraId="59104FC8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Реальна інтеграція</w:t>
      </w:r>
    </w:p>
    <w:p w14:paraId="61D18D23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Функціональна інтеграція </w:t>
      </w:r>
    </w:p>
    <w:p w14:paraId="3F205D9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Інституціональна інтеграція</w:t>
      </w:r>
    </w:p>
    <w:p w14:paraId="57B4516F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Економічна інтеграція</w:t>
      </w:r>
    </w:p>
    <w:p w14:paraId="1E6E780A" w14:textId="4B6D581F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6</w:t>
      </w:r>
      <w:r w:rsidRPr="00B15687">
        <w:rPr>
          <w:rFonts w:ascii="Cambria" w:hAnsi="Cambria"/>
          <w:b/>
          <w:bCs/>
          <w:sz w:val="28"/>
          <w:szCs w:val="28"/>
        </w:rPr>
        <w:t>.</w:t>
      </w:r>
      <w:r w:rsidRPr="00B15687">
        <w:rPr>
          <w:rFonts w:ascii="Cambria" w:hAnsi="Cambria"/>
          <w:b/>
          <w:bCs/>
          <w:sz w:val="28"/>
          <w:szCs w:val="28"/>
        </w:rPr>
        <w:tab/>
        <w:t>Інтеграційна модель що базується на ідеї зовнішньоекономічної політики, орієнтованої на вільну торгівлю це:</w:t>
      </w:r>
    </w:p>
    <w:p w14:paraId="0EFFD168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Реальна інтеграція</w:t>
      </w:r>
    </w:p>
    <w:p w14:paraId="071137FC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Функціональна інтеграція </w:t>
      </w:r>
    </w:p>
    <w:p w14:paraId="3A9D70AD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Інституціональна інтеграція</w:t>
      </w:r>
    </w:p>
    <w:p w14:paraId="44F8642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Економічна інтеграційна модель</w:t>
      </w:r>
    </w:p>
    <w:p w14:paraId="08280F8E" w14:textId="05AC1059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lastRenderedPageBreak/>
        <w:t>7.</w:t>
      </w:r>
      <w:r w:rsidRPr="00B15687">
        <w:rPr>
          <w:rFonts w:ascii="Cambria" w:hAnsi="Cambria"/>
          <w:b/>
          <w:bCs/>
          <w:sz w:val="28"/>
          <w:szCs w:val="28"/>
        </w:rPr>
        <w:tab/>
        <w:t>Інтеграційна модель що передбачає поступове спільне злиття держав угрупування і відноситься до «реалістичної» школи це:</w:t>
      </w:r>
    </w:p>
    <w:p w14:paraId="03E98212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Реальна інтеграція</w:t>
      </w:r>
    </w:p>
    <w:p w14:paraId="302FAAF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Функціональна інтеграція </w:t>
      </w:r>
    </w:p>
    <w:p w14:paraId="2FBE383F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Інституціональна інтеграція</w:t>
      </w:r>
    </w:p>
    <w:p w14:paraId="2F80880D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Інтеграційна модель міжурядового співробітництва</w:t>
      </w:r>
    </w:p>
    <w:p w14:paraId="70F03948" w14:textId="0E2B1FEA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8.</w:t>
      </w:r>
      <w:r w:rsidRPr="00B15687">
        <w:rPr>
          <w:rFonts w:ascii="Cambria" w:hAnsi="Cambria"/>
          <w:b/>
          <w:bCs/>
          <w:sz w:val="28"/>
          <w:szCs w:val="28"/>
        </w:rPr>
        <w:tab/>
        <w:t>Визначте вірну відповідь щодо ознак інтеграції відповідно до розуміння сутності інтеграційних процесів, їх природи, спрямованості, специфіки:</w:t>
      </w:r>
    </w:p>
    <w:p w14:paraId="4AD261D6" w14:textId="277405E9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Взаємопроникнення і переплетіння національних виробничих процесів</w:t>
      </w:r>
    </w:p>
    <w:p w14:paraId="04003121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Глибокі структурні зрушення в економічних системах країн-учасниць</w:t>
      </w:r>
    </w:p>
    <w:p w14:paraId="16695F0F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Регіональність територіальних масштабів</w:t>
      </w:r>
    </w:p>
    <w:p w14:paraId="6370926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70AD259F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9.</w:t>
      </w:r>
      <w:r w:rsidRPr="00B15687">
        <w:rPr>
          <w:rFonts w:ascii="Cambria" w:hAnsi="Cambria"/>
          <w:b/>
          <w:bCs/>
          <w:sz w:val="28"/>
          <w:szCs w:val="28"/>
        </w:rPr>
        <w:tab/>
        <w:t>Визначте вірну відповідь щодо того, які характерні умови не-обхідні для розвитку європейської інтеграції:</w:t>
      </w:r>
    </w:p>
    <w:p w14:paraId="3D894B69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Економічні</w:t>
      </w:r>
    </w:p>
    <w:p w14:paraId="571EBE5B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Політичні</w:t>
      </w:r>
    </w:p>
    <w:p w14:paraId="51798046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Ідеологічні</w:t>
      </w:r>
    </w:p>
    <w:p w14:paraId="3D3AE7C1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Усі відповіді вірні</w:t>
      </w:r>
    </w:p>
    <w:p w14:paraId="17D9A74A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10.</w:t>
      </w:r>
      <w:r w:rsidRPr="00B15687">
        <w:rPr>
          <w:rFonts w:ascii="Cambria" w:hAnsi="Cambria"/>
          <w:b/>
          <w:bCs/>
          <w:sz w:val="28"/>
          <w:szCs w:val="28"/>
        </w:rPr>
        <w:tab/>
        <w:t>Визначте вірну відповідь щодо найважливіших історичних причин європейської інтеграції:</w:t>
      </w:r>
    </w:p>
    <w:p w14:paraId="13F38300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Потреба взаємного порозуміння між країнами</w:t>
      </w:r>
    </w:p>
    <w:p w14:paraId="7FF5448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Сподівання на економічний розвиток та добробут</w:t>
      </w:r>
    </w:p>
    <w:p w14:paraId="7F53E63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Потреба миру та безпеки</w:t>
      </w:r>
    </w:p>
    <w:p w14:paraId="7657E370" w14:textId="04F88695" w:rsid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Утримання економічного та політичного статусу на міжнародній арені</w:t>
      </w:r>
    </w:p>
    <w:p w14:paraId="607289C9" w14:textId="7895DABB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11. </w:t>
      </w:r>
      <w:r w:rsidRPr="00B15687">
        <w:rPr>
          <w:rFonts w:ascii="Cambria" w:hAnsi="Cambria"/>
          <w:b/>
          <w:bCs/>
          <w:sz w:val="28"/>
          <w:szCs w:val="28"/>
        </w:rPr>
        <w:t>Визначте вірні відповіді щодо того які чинники впливають на формування міжнародного поділу праці та рівень залучення до нього окремих держав або їх груп:</w:t>
      </w:r>
    </w:p>
    <w:p w14:paraId="251CD2D7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Природно-географічні</w:t>
      </w:r>
    </w:p>
    <w:p w14:paraId="5DD14E62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Соціально-економічні</w:t>
      </w:r>
    </w:p>
    <w:p w14:paraId="41B8DBF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Науково-технологічні</w:t>
      </w:r>
    </w:p>
    <w:p w14:paraId="6BDC89AB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069A62A1" w14:textId="27F52F5F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B15687">
        <w:rPr>
          <w:rFonts w:ascii="Cambria" w:hAnsi="Cambria"/>
          <w:b/>
          <w:bCs/>
          <w:sz w:val="28"/>
          <w:szCs w:val="28"/>
        </w:rPr>
        <w:t>2.</w:t>
      </w:r>
      <w:r w:rsidRPr="00B15687">
        <w:rPr>
          <w:rFonts w:ascii="Cambria" w:hAnsi="Cambria"/>
          <w:b/>
          <w:bCs/>
          <w:sz w:val="28"/>
          <w:szCs w:val="28"/>
        </w:rPr>
        <w:tab/>
        <w:t>Визначте вірні відповіді  із зазначеного переліку щодо стадій розвитку інтеграції згідно теорії міжнародної інтеграції Б. Баласа:</w:t>
      </w:r>
    </w:p>
    <w:p w14:paraId="6BC6778D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вільної торгівлі</w:t>
      </w:r>
    </w:p>
    <w:p w14:paraId="37E55DD9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Митний союз</w:t>
      </w:r>
    </w:p>
    <w:p w14:paraId="754E30F6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Спільний  ринок</w:t>
      </w:r>
    </w:p>
    <w:p w14:paraId="53B9331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Економічний союз</w:t>
      </w:r>
    </w:p>
    <w:p w14:paraId="02EAF984" w14:textId="042717AC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B15687">
        <w:rPr>
          <w:rFonts w:ascii="Cambria" w:hAnsi="Cambria"/>
          <w:b/>
          <w:bCs/>
          <w:sz w:val="28"/>
          <w:szCs w:val="28"/>
        </w:rPr>
        <w:t>3.</w:t>
      </w:r>
      <w:r w:rsidRPr="00B15687">
        <w:rPr>
          <w:rFonts w:ascii="Cambria" w:hAnsi="Cambria"/>
          <w:b/>
          <w:bCs/>
          <w:sz w:val="28"/>
          <w:szCs w:val="28"/>
        </w:rPr>
        <w:tab/>
        <w:t>До якої форми міжнародної економічної інтеграції належить така, що має наступну сутність - ранній напрям поглиблення інтернаціоналізації економічного розвитку:</w:t>
      </w:r>
    </w:p>
    <w:p w14:paraId="0B72FAD9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економічного росту</w:t>
      </w:r>
    </w:p>
    <w:p w14:paraId="550E0BA8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преференційної торгівлі</w:t>
      </w:r>
    </w:p>
    <w:p w14:paraId="16E21F0A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lastRenderedPageBreak/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промислово-зональної торгівлі</w:t>
      </w:r>
    </w:p>
    <w:p w14:paraId="7BCD8637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вільної торгівлі</w:t>
      </w:r>
    </w:p>
    <w:p w14:paraId="16A2E60B" w14:textId="71E9BC1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B15687">
        <w:rPr>
          <w:rFonts w:ascii="Cambria" w:hAnsi="Cambria"/>
          <w:b/>
          <w:bCs/>
          <w:sz w:val="28"/>
          <w:szCs w:val="28"/>
        </w:rPr>
        <w:t>4.</w:t>
      </w:r>
      <w:r w:rsidRPr="00B15687">
        <w:rPr>
          <w:rFonts w:ascii="Cambria" w:hAnsi="Cambria"/>
          <w:b/>
          <w:bCs/>
          <w:sz w:val="28"/>
          <w:szCs w:val="28"/>
        </w:rPr>
        <w:tab/>
        <w:t>До якої форми міжнародної економічної інтеграції належить така, що має наступну сутність- всі учасники самостійно визначають засади та механізми національної зовнішньоторговельної політики:</w:t>
      </w:r>
    </w:p>
    <w:p w14:paraId="025FE36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Формування ефективних інформаційних систем.</w:t>
      </w:r>
    </w:p>
    <w:p w14:paraId="33A4A59D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економічного росту</w:t>
      </w:r>
    </w:p>
    <w:p w14:paraId="4E7249C9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преференційної торгівлі</w:t>
      </w:r>
    </w:p>
    <w:p w14:paraId="1185750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промислово-зональної торгівлі</w:t>
      </w:r>
    </w:p>
    <w:p w14:paraId="47E701DB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вільної торгівлі</w:t>
      </w:r>
    </w:p>
    <w:p w14:paraId="043EFB84" w14:textId="422115D4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B15687">
        <w:rPr>
          <w:rFonts w:ascii="Cambria" w:hAnsi="Cambria"/>
          <w:b/>
          <w:bCs/>
          <w:sz w:val="28"/>
          <w:szCs w:val="28"/>
        </w:rPr>
        <w:t>5.</w:t>
      </w:r>
      <w:r w:rsidRPr="00B15687">
        <w:rPr>
          <w:rFonts w:ascii="Cambria" w:hAnsi="Cambria"/>
          <w:b/>
          <w:bCs/>
          <w:sz w:val="28"/>
          <w:szCs w:val="28"/>
        </w:rPr>
        <w:tab/>
        <w:t>До якої форми міжнародної економічної інтеграції належить така, що має наступну сутність- учасники інтеграцій-них процесів отримують позитивний ефект для розвитку промислового виробництва:</w:t>
      </w:r>
    </w:p>
    <w:p w14:paraId="7F4398F8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економічного росту</w:t>
      </w:r>
    </w:p>
    <w:p w14:paraId="5F504DC4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преференційної торгівлі</w:t>
      </w:r>
    </w:p>
    <w:p w14:paraId="26C432CB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промислово-зональної торгівлі</w:t>
      </w:r>
    </w:p>
    <w:p w14:paraId="4FDD6060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Зона вільної торгівлі     </w:t>
      </w:r>
    </w:p>
    <w:p w14:paraId="7AC7196A" w14:textId="33C15A8B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B15687">
        <w:rPr>
          <w:rFonts w:ascii="Cambria" w:hAnsi="Cambria"/>
          <w:b/>
          <w:bCs/>
          <w:sz w:val="28"/>
          <w:szCs w:val="28"/>
        </w:rPr>
        <w:t>6.</w:t>
      </w:r>
      <w:r w:rsidRPr="00B15687">
        <w:rPr>
          <w:rFonts w:ascii="Cambria" w:hAnsi="Cambria"/>
          <w:b/>
          <w:bCs/>
          <w:sz w:val="28"/>
          <w:szCs w:val="28"/>
        </w:rPr>
        <w:tab/>
        <w:t>До якої форми міжнародної економічної інтеграції належить така, що має наступну сутність- зручність для третіх країн при торгівлі з різними країнами-учасницями, через спільний зовнішній тариф:</w:t>
      </w:r>
    </w:p>
    <w:p w14:paraId="4326EFD8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вільної торгівлі</w:t>
      </w:r>
    </w:p>
    <w:p w14:paraId="47CC008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Митний союз</w:t>
      </w:r>
    </w:p>
    <w:p w14:paraId="783CB9F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економічного росту</w:t>
      </w:r>
    </w:p>
    <w:p w14:paraId="4CB830A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Економічний союз</w:t>
      </w:r>
    </w:p>
    <w:p w14:paraId="512F0F05" w14:textId="42A2D59A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B15687">
        <w:rPr>
          <w:rFonts w:ascii="Cambria" w:hAnsi="Cambria"/>
          <w:b/>
          <w:bCs/>
          <w:sz w:val="28"/>
          <w:szCs w:val="28"/>
        </w:rPr>
        <w:t>7.</w:t>
      </w:r>
      <w:r w:rsidRPr="00B15687">
        <w:rPr>
          <w:rFonts w:ascii="Cambria" w:hAnsi="Cambria"/>
          <w:b/>
          <w:bCs/>
          <w:sz w:val="28"/>
          <w:szCs w:val="28"/>
        </w:rPr>
        <w:tab/>
        <w:t>До якої форми міжнародної економічної інтеграції належить така, що має наступну сутність- наднаціональний рівень управління:</w:t>
      </w:r>
    </w:p>
    <w:p w14:paraId="15600DEF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вільної торгівлі</w:t>
      </w:r>
    </w:p>
    <w:p w14:paraId="21033882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Митний союз</w:t>
      </w:r>
    </w:p>
    <w:p w14:paraId="139B8CED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Політичний союз</w:t>
      </w:r>
    </w:p>
    <w:p w14:paraId="517A0E54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Зона економічного росту</w:t>
      </w:r>
    </w:p>
    <w:p w14:paraId="52848920" w14:textId="7CE4A680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B15687">
        <w:rPr>
          <w:rFonts w:ascii="Cambria" w:hAnsi="Cambria"/>
          <w:b/>
          <w:bCs/>
          <w:sz w:val="28"/>
          <w:szCs w:val="28"/>
        </w:rPr>
        <w:t>8.</w:t>
      </w:r>
      <w:r w:rsidRPr="00B15687">
        <w:rPr>
          <w:rFonts w:ascii="Cambria" w:hAnsi="Cambria"/>
          <w:b/>
          <w:bCs/>
          <w:sz w:val="28"/>
          <w:szCs w:val="28"/>
        </w:rPr>
        <w:tab/>
        <w:t>До ключових економічних умов інтеграції відносять критерії:</w:t>
      </w:r>
    </w:p>
    <w:p w14:paraId="418D7DF2" w14:textId="7BE95261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Рівень розвитку країни, її ресурсні та технологічні потенціали</w:t>
      </w:r>
    </w:p>
    <w:p w14:paraId="6C258746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Ступінь зрілості ринкових відносин, зокрема національних ринків товарів, капіталу і праці </w:t>
      </w:r>
    </w:p>
    <w:p w14:paraId="76C38AE0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Масштаби й перспективи економічних взаємозв’язків країн</w:t>
      </w:r>
    </w:p>
    <w:p w14:paraId="46B3BCB8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Інфраструктурна та соціально-культурна сумісність</w:t>
      </w:r>
    </w:p>
    <w:p w14:paraId="785BB6BB" w14:textId="4158A898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</w:t>
      </w:r>
      <w:r w:rsidRPr="00B15687">
        <w:rPr>
          <w:rFonts w:ascii="Cambria" w:hAnsi="Cambria"/>
          <w:b/>
          <w:bCs/>
          <w:sz w:val="28"/>
          <w:szCs w:val="28"/>
        </w:rPr>
        <w:t>9.</w:t>
      </w:r>
      <w:r w:rsidRPr="00B15687">
        <w:rPr>
          <w:rFonts w:ascii="Cambria" w:hAnsi="Cambria"/>
          <w:b/>
          <w:bCs/>
          <w:sz w:val="28"/>
          <w:szCs w:val="28"/>
        </w:rPr>
        <w:tab/>
        <w:t>Регіон Європи, створений в 1944 р. що включає в себе Європейські країни митно-економічного союзу – Бельгію, Нідерланди та Люксембург це:</w:t>
      </w:r>
    </w:p>
    <w:p w14:paraId="717E269B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Європейське об’єднання вугілля та сталі ( ECSC)</w:t>
      </w:r>
    </w:p>
    <w:p w14:paraId="0F9C001F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Бенілюкс</w:t>
      </w:r>
    </w:p>
    <w:p w14:paraId="6EBD69D2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Європейський союз</w:t>
      </w:r>
    </w:p>
    <w:p w14:paraId="73917ED8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2FBC117E" w14:textId="60C9C8B5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0.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Міжнародна державно-монополістична організація, що була створена у 1951 році та об'єднувала кам'яновугільну,  залізорудну і </w:t>
      </w:r>
      <w:r w:rsidRPr="00B15687">
        <w:rPr>
          <w:rFonts w:ascii="Cambria" w:hAnsi="Cambria"/>
          <w:b/>
          <w:bCs/>
          <w:sz w:val="28"/>
          <w:szCs w:val="28"/>
        </w:rPr>
        <w:lastRenderedPageBreak/>
        <w:t>металургійну промисловість 10 країн Європейської економічної спільноти (ЄЕС) це:</w:t>
      </w:r>
    </w:p>
    <w:p w14:paraId="5CF7CD56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Європейська шістка</w:t>
      </w:r>
    </w:p>
    <w:p w14:paraId="298D4FC9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Бенілюкс</w:t>
      </w:r>
    </w:p>
    <w:p w14:paraId="2D3A88F2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Європейське об’єднання вугілля та сталі ( ECSC)</w:t>
      </w:r>
    </w:p>
    <w:p w14:paraId="22744500" w14:textId="39A464DC" w:rsid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Європейський союз</w:t>
      </w:r>
    </w:p>
    <w:p w14:paraId="12D43FC6" w14:textId="2456E228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1.</w:t>
      </w:r>
      <w:r w:rsidRPr="00B15687">
        <w:rPr>
          <w:rFonts w:ascii="Cambria" w:hAnsi="Cambria"/>
          <w:b/>
          <w:bCs/>
          <w:sz w:val="28"/>
          <w:szCs w:val="28"/>
        </w:rPr>
        <w:tab/>
        <w:t>Зазначте вірну відповідь щодо того, коли Рада Євросоюзу ухвалила загальну позицію по Україні:</w:t>
      </w:r>
    </w:p>
    <w:p w14:paraId="739F44B0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У 1994 році</w:t>
      </w:r>
    </w:p>
    <w:p w14:paraId="401B0D82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  У 1995 році</w:t>
      </w:r>
    </w:p>
    <w:p w14:paraId="68E2164E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  У 1998 році</w:t>
      </w:r>
    </w:p>
    <w:p w14:paraId="447EA59F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49A4A532" w14:textId="1E0E9E5F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2.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Зазначте вірну відповідь щодо того, коли </w:t>
      </w:r>
      <w:r w:rsidRPr="00B15687">
        <w:rPr>
          <w:rFonts w:ascii="Cambria" w:hAnsi="Cambria"/>
          <w:b/>
          <w:bCs/>
          <w:sz w:val="28"/>
          <w:szCs w:val="28"/>
        </w:rPr>
        <w:t>Єврокомісія</w:t>
      </w:r>
      <w:r w:rsidRPr="00B15687">
        <w:rPr>
          <w:rFonts w:ascii="Cambria" w:hAnsi="Cambria"/>
          <w:b/>
          <w:bCs/>
          <w:sz w:val="28"/>
          <w:szCs w:val="28"/>
        </w:rPr>
        <w:t xml:space="preserve"> представила на розгляд Європарламенту План дій по Україні:</w:t>
      </w:r>
    </w:p>
    <w:p w14:paraId="4C62403C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У 1995 році</w:t>
      </w:r>
    </w:p>
    <w:p w14:paraId="70472C2A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У 1996 році</w:t>
      </w:r>
    </w:p>
    <w:p w14:paraId="75763673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У 1998 році</w:t>
      </w:r>
    </w:p>
    <w:p w14:paraId="5313C8E5" w14:textId="77777777" w:rsidR="00B15687" w:rsidRPr="00B15687" w:rsidRDefault="00B15687" w:rsidP="00B15687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390EE16B" w14:textId="33ABF1F1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3.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 Визначте вірні відповіді із зазначеного переліку основних напрямків допомоги українській державі згідно Плану дій по Україні:</w:t>
      </w:r>
    </w:p>
    <w:p w14:paraId="0AEA92C0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Підтримка економічної реформи в Україні і трансформації українського суспільства</w:t>
      </w:r>
    </w:p>
    <w:p w14:paraId="640C9129" w14:textId="666D8BE1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Введення України в європейську систему безпеки і розширення регіональної співпраці</w:t>
      </w:r>
    </w:p>
    <w:p w14:paraId="5129C1B0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Поглиблення договірних відносин і реформа енергетичного сектора</w:t>
      </w:r>
    </w:p>
    <w:p w14:paraId="49F85713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Поглиблення контактів з Західноєвропейським союзом та взаємодії в рамках ОБСЄ для поступової інтеграції України в європейську систему безпеки.</w:t>
      </w:r>
    </w:p>
    <w:p w14:paraId="57316172" w14:textId="6AACB074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4.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 Зазначте вірну відповідь щодо названих  областей серед основних пріоритетних реформ в країнах – партнерах і їх співпраці з ЄС: </w:t>
      </w:r>
    </w:p>
    <w:p w14:paraId="1C7441AF" w14:textId="7DFA45D4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Демократія, вдосконалення системи управління і забезпечення стабільності;</w:t>
      </w:r>
    </w:p>
    <w:p w14:paraId="3308A64D" w14:textId="45E3184D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Економічна інтеграція і конвергенція з галузевої економічною політикою ЄС, включаючи створення зон вільної торгів-лі;</w:t>
      </w:r>
    </w:p>
    <w:p w14:paraId="6DE095A3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Енергетична безпека;</w:t>
      </w:r>
    </w:p>
    <w:p w14:paraId="5BD97ADC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Розвиток контактів між людьми (лібералізація візового ре-жиму та посилення боротьби з незаконною міграцією).</w:t>
      </w:r>
    </w:p>
    <w:p w14:paraId="414B3272" w14:textId="34282554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5.</w:t>
      </w:r>
      <w:r w:rsidRPr="00B15687">
        <w:rPr>
          <w:rFonts w:ascii="Cambria" w:hAnsi="Cambria"/>
          <w:b/>
          <w:bCs/>
          <w:sz w:val="28"/>
          <w:szCs w:val="28"/>
        </w:rPr>
        <w:tab/>
        <w:t>Кабінет міністрів України повідомив про припинення підготовки до укладення Угоди про асоціацію між Україною та ЄС:</w:t>
      </w:r>
    </w:p>
    <w:p w14:paraId="7CDB2829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18 листопада 2013 року</w:t>
      </w:r>
    </w:p>
    <w:p w14:paraId="7EA0AA8C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28-29 листопада 2013 року</w:t>
      </w:r>
    </w:p>
    <w:p w14:paraId="74BBAE39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21 листопада 2013 року</w:t>
      </w:r>
    </w:p>
    <w:p w14:paraId="5F17BA2A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2C4DC808" w14:textId="032CDBD0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6.</w:t>
      </w:r>
      <w:r w:rsidRPr="00B15687">
        <w:rPr>
          <w:rFonts w:ascii="Cambria" w:hAnsi="Cambria"/>
          <w:b/>
          <w:bCs/>
          <w:sz w:val="28"/>
          <w:szCs w:val="28"/>
        </w:rPr>
        <w:tab/>
        <w:t>Верховна рада схвалила законопроект про ратифікацію Угоди про асоціацію між Україною та Європейським союзом:</w:t>
      </w:r>
    </w:p>
    <w:p w14:paraId="3EFFAE87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lastRenderedPageBreak/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15 липня  2014 року</w:t>
      </w:r>
    </w:p>
    <w:p w14:paraId="71D73FCA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12 вересня 2014 року</w:t>
      </w:r>
    </w:p>
    <w:p w14:paraId="69B724E9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16 вересня 2014 року</w:t>
      </w:r>
    </w:p>
    <w:p w14:paraId="320FFAA7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2A0FA3BF" w14:textId="6AF97B4C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7.</w:t>
      </w:r>
      <w:r w:rsidRPr="00B15687">
        <w:rPr>
          <w:rFonts w:ascii="Cambria" w:hAnsi="Cambria"/>
          <w:b/>
          <w:bCs/>
          <w:sz w:val="28"/>
          <w:szCs w:val="28"/>
        </w:rPr>
        <w:tab/>
        <w:t>Президент РФ підписав указ про призупинення з 1 січня 2016 року дії договору про зону вільної торгівлі СНД щодо України:</w:t>
      </w:r>
    </w:p>
    <w:p w14:paraId="3509B060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16 грудня 2015 року</w:t>
      </w:r>
    </w:p>
    <w:p w14:paraId="4FC0327C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22 грудня 2015 року </w:t>
      </w:r>
    </w:p>
    <w:p w14:paraId="1B5D9032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30 грудня 2015 року</w:t>
      </w:r>
    </w:p>
    <w:p w14:paraId="6F719D23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74A632C9" w14:textId="40781E0F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8.</w:t>
      </w:r>
      <w:r w:rsidRPr="00B15687">
        <w:rPr>
          <w:rFonts w:ascii="Cambria" w:hAnsi="Cambria"/>
          <w:b/>
          <w:bCs/>
          <w:sz w:val="28"/>
          <w:szCs w:val="28"/>
        </w:rPr>
        <w:tab/>
        <w:t>Президент РФ 30 грудня Володимир Путін підписав закон про призупинення дії договору про ЗВТ щодо України і указ про часткове відновлення з 2016 року дії щодо України договору про ЗВТ в частині митної  мита з експортованого на Україну природного газу:</w:t>
      </w:r>
    </w:p>
    <w:p w14:paraId="26F73897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16 грудня 2015 року</w:t>
      </w:r>
    </w:p>
    <w:p w14:paraId="7542BE29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22 грудня 2015 року </w:t>
      </w:r>
    </w:p>
    <w:p w14:paraId="1C862BC6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30 грудня 2015 року</w:t>
      </w:r>
    </w:p>
    <w:p w14:paraId="624A0E97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p w14:paraId="4E1E9185" w14:textId="5B25EF7A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</w:t>
      </w:r>
      <w:r w:rsidRPr="00B15687">
        <w:rPr>
          <w:rFonts w:ascii="Cambria" w:hAnsi="Cambria"/>
          <w:b/>
          <w:bCs/>
          <w:sz w:val="28"/>
          <w:szCs w:val="28"/>
        </w:rPr>
        <w:t>9.</w:t>
      </w:r>
      <w:r w:rsidRPr="00B15687">
        <w:rPr>
          <w:rFonts w:ascii="Cambria" w:hAnsi="Cambria"/>
          <w:b/>
          <w:bCs/>
          <w:sz w:val="28"/>
          <w:szCs w:val="28"/>
        </w:rPr>
        <w:tab/>
        <w:t>Визначте вірні відповіді щодо випадків, при яких може бути задіяний механізм екстреної зупинки безвізового режиму для громадян «третіх країн»:</w:t>
      </w:r>
    </w:p>
    <w:p w14:paraId="05C16CEB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Зростання числа відмов громадянам цих країн у в'їзді в Євро-союз</w:t>
      </w:r>
    </w:p>
    <w:p w14:paraId="687C1F6D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Зростання числа необґрунтованих заявок на статус біженця</w:t>
      </w:r>
    </w:p>
    <w:p w14:paraId="7CCE914E" w14:textId="596106D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Відмова влади «третіх країн» співпрацювати в питаннях репатріації</w:t>
      </w:r>
    </w:p>
    <w:p w14:paraId="1BA94F14" w14:textId="7A50590B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Ризики для внутрішньої безпеки Євросоюзу, пов'язані з громадянами цих країн</w:t>
      </w:r>
    </w:p>
    <w:p w14:paraId="494B81EA" w14:textId="49095F33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3</w:t>
      </w:r>
      <w:r w:rsidRPr="00B15687">
        <w:rPr>
          <w:rFonts w:ascii="Cambria" w:hAnsi="Cambria"/>
          <w:b/>
          <w:bCs/>
          <w:sz w:val="28"/>
          <w:szCs w:val="28"/>
        </w:rPr>
        <w:t>0.</w:t>
      </w:r>
      <w:r w:rsidRPr="00B15687">
        <w:rPr>
          <w:rFonts w:ascii="Cambria" w:hAnsi="Cambria"/>
          <w:b/>
          <w:bCs/>
          <w:sz w:val="28"/>
          <w:szCs w:val="28"/>
        </w:rPr>
        <w:tab/>
        <w:t xml:space="preserve">  Документ про введення безвізового режиму для в'їзду громадян України в Європу набув чинності:</w:t>
      </w:r>
    </w:p>
    <w:p w14:paraId="70C3CB11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A.</w:t>
      </w:r>
      <w:r w:rsidRPr="00B15687">
        <w:rPr>
          <w:rFonts w:ascii="Cambria" w:hAnsi="Cambria"/>
          <w:b/>
          <w:bCs/>
          <w:sz w:val="28"/>
          <w:szCs w:val="28"/>
        </w:rPr>
        <w:tab/>
        <w:t>28 лютого 2017 року</w:t>
      </w:r>
    </w:p>
    <w:p w14:paraId="22523BF2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B.</w:t>
      </w:r>
      <w:r w:rsidRPr="00B15687">
        <w:rPr>
          <w:rFonts w:ascii="Cambria" w:hAnsi="Cambria"/>
          <w:b/>
          <w:bCs/>
          <w:sz w:val="28"/>
          <w:szCs w:val="28"/>
        </w:rPr>
        <w:tab/>
        <w:t>11 травня 2017 року</w:t>
      </w:r>
    </w:p>
    <w:p w14:paraId="47D274A0" w14:textId="77777777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C.</w:t>
      </w:r>
      <w:r w:rsidRPr="00B15687">
        <w:rPr>
          <w:rFonts w:ascii="Cambria" w:hAnsi="Cambria"/>
          <w:b/>
          <w:bCs/>
          <w:sz w:val="28"/>
          <w:szCs w:val="28"/>
        </w:rPr>
        <w:tab/>
        <w:t>17 травня 2017 року</w:t>
      </w:r>
    </w:p>
    <w:p w14:paraId="1131CB7E" w14:textId="6FD1036D" w:rsidR="00B15687" w:rsidRPr="00B15687" w:rsidRDefault="00B15687" w:rsidP="00B15687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B15687">
        <w:rPr>
          <w:rFonts w:ascii="Cambria" w:hAnsi="Cambria"/>
          <w:b/>
          <w:bCs/>
          <w:sz w:val="28"/>
          <w:szCs w:val="28"/>
        </w:rPr>
        <w:t>D.</w:t>
      </w:r>
      <w:r w:rsidRPr="00B15687">
        <w:rPr>
          <w:rFonts w:ascii="Cambria" w:hAnsi="Cambria"/>
          <w:b/>
          <w:bCs/>
          <w:sz w:val="28"/>
          <w:szCs w:val="28"/>
        </w:rPr>
        <w:tab/>
        <w:t>Немає вірної відповіді</w:t>
      </w:r>
    </w:p>
    <w:sectPr w:rsidR="00B15687" w:rsidRPr="00B156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F10"/>
    <w:multiLevelType w:val="hybridMultilevel"/>
    <w:tmpl w:val="3894E04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253C3E"/>
    <w:multiLevelType w:val="hybridMultilevel"/>
    <w:tmpl w:val="3932BCB2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AD225A0"/>
    <w:multiLevelType w:val="hybridMultilevel"/>
    <w:tmpl w:val="95288C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7E71"/>
    <w:multiLevelType w:val="hybridMultilevel"/>
    <w:tmpl w:val="35DCC3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66C90"/>
    <w:multiLevelType w:val="hybridMultilevel"/>
    <w:tmpl w:val="74F44FDC"/>
    <w:lvl w:ilvl="0" w:tplc="04190015">
      <w:start w:val="1"/>
      <w:numFmt w:val="upperLetter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54142CB"/>
    <w:multiLevelType w:val="hybridMultilevel"/>
    <w:tmpl w:val="AEAEC7FA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3AC142EF"/>
    <w:multiLevelType w:val="hybridMultilevel"/>
    <w:tmpl w:val="145A29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1C2D01"/>
    <w:multiLevelType w:val="hybridMultilevel"/>
    <w:tmpl w:val="34E22D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6755"/>
    <w:multiLevelType w:val="hybridMultilevel"/>
    <w:tmpl w:val="F2E49E1A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56F8F"/>
    <w:multiLevelType w:val="hybridMultilevel"/>
    <w:tmpl w:val="0B82B5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605442">
    <w:abstractNumId w:val="8"/>
  </w:num>
  <w:num w:numId="2" w16cid:durableId="1302540037">
    <w:abstractNumId w:val="2"/>
  </w:num>
  <w:num w:numId="3" w16cid:durableId="2124885382">
    <w:abstractNumId w:val="3"/>
  </w:num>
  <w:num w:numId="4" w16cid:durableId="1107114835">
    <w:abstractNumId w:val="6"/>
  </w:num>
  <w:num w:numId="5" w16cid:durableId="649410203">
    <w:abstractNumId w:val="9"/>
  </w:num>
  <w:num w:numId="6" w16cid:durableId="521091647">
    <w:abstractNumId w:val="0"/>
  </w:num>
  <w:num w:numId="7" w16cid:durableId="228417461">
    <w:abstractNumId w:val="4"/>
  </w:num>
  <w:num w:numId="8" w16cid:durableId="750082140">
    <w:abstractNumId w:val="5"/>
  </w:num>
  <w:num w:numId="9" w16cid:durableId="1278677498">
    <w:abstractNumId w:val="1"/>
  </w:num>
  <w:num w:numId="10" w16cid:durableId="1004936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DF"/>
    <w:rsid w:val="00115E8D"/>
    <w:rsid w:val="00194FDF"/>
    <w:rsid w:val="009326A0"/>
    <w:rsid w:val="00B15687"/>
    <w:rsid w:val="00D120F8"/>
    <w:rsid w:val="00DB7AF0"/>
    <w:rsid w:val="00E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6315"/>
  <w15:chartTrackingRefBased/>
  <w15:docId w15:val="{DCBCABAF-DC9B-44DD-A0D1-910B89F2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94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FD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94F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94FD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94FDF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94FDF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94FD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94FD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94FD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94FD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94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94FD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94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94FD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194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94FDF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194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94FDF"/>
    <w:rPr>
      <w:i/>
      <w:iCs/>
      <w:color w:val="2F5496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194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Метеленко</dc:creator>
  <cp:keywords/>
  <dc:description/>
  <cp:lastModifiedBy>Наталья Метеленко</cp:lastModifiedBy>
  <cp:revision>2</cp:revision>
  <dcterms:created xsi:type="dcterms:W3CDTF">2025-10-04T09:51:00Z</dcterms:created>
  <dcterms:modified xsi:type="dcterms:W3CDTF">2025-10-04T09:57:00Z</dcterms:modified>
</cp:coreProperties>
</file>