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55A6" w14:textId="5EF655CE" w:rsidR="00F12C76" w:rsidRPr="00101244" w:rsidRDefault="00101244" w:rsidP="006C0B77">
      <w:pPr>
        <w:spacing w:after="0"/>
        <w:ind w:firstLine="709"/>
        <w:jc w:val="both"/>
        <w:rPr>
          <w:b/>
          <w:bCs/>
          <w:lang w:val="uk-UA"/>
        </w:rPr>
      </w:pPr>
      <w:bookmarkStart w:id="0" w:name="_GoBack"/>
      <w:bookmarkEnd w:id="0"/>
      <w:r w:rsidRPr="00101244">
        <w:rPr>
          <w:b/>
          <w:bCs/>
          <w:lang w:val="uk-UA"/>
        </w:rPr>
        <w:t>Тема. Ефективність соціально маркетингових кампаній.</w:t>
      </w:r>
    </w:p>
    <w:p w14:paraId="4EB8F110" w14:textId="77777777" w:rsidR="00101244" w:rsidRDefault="00101244" w:rsidP="006C0B77">
      <w:pPr>
        <w:spacing w:after="0"/>
        <w:ind w:firstLine="709"/>
        <w:jc w:val="both"/>
        <w:rPr>
          <w:lang w:val="uk-UA"/>
        </w:rPr>
      </w:pPr>
    </w:p>
    <w:p w14:paraId="12D4CA27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Відносна успішніть інформаційних кампаній (про попередження пожпж в США), з часом їх рівень зменшується. Успіх –рівень зменшився в 6 разів; неуспіх – пожежі відбуваються кожного року.</w:t>
      </w:r>
    </w:p>
    <w:p w14:paraId="085BFFB5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i/>
          <w:iCs/>
          <w:lang w:val="uk-UA"/>
        </w:rPr>
        <w:t>Причини неуспішности:</w:t>
      </w:r>
    </w:p>
    <w:p w14:paraId="4C6D6572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1 – відсутність чітко визначених критеріїв успішності;</w:t>
      </w:r>
    </w:p>
    <w:p w14:paraId="1BD9A414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2 – невірні техніки роботи із цільовою аудитоірєю;</w:t>
      </w:r>
    </w:p>
    <w:p w14:paraId="077848B1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3 – невірний вибір мас-медіа (+ необхідно використовувати декілька каналів);</w:t>
      </w:r>
    </w:p>
    <w:p w14:paraId="2C897556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4 – постановка нереальних цілей (неможливо змінити поведінка на 50%, реально 3-5% за декілька років);</w:t>
      </w:r>
    </w:p>
    <w:p w14:paraId="30671F36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5 – проблеми із змістом повідомлення;</w:t>
      </w:r>
    </w:p>
    <w:p w14:paraId="7F253294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6 – відсутність чітко сформованої теоретичної бази.</w:t>
      </w:r>
    </w:p>
    <w:p w14:paraId="51126168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i/>
          <w:iCs/>
          <w:lang w:val="uk-UA"/>
        </w:rPr>
        <w:t>Успішність ІК:</w:t>
      </w:r>
    </w:p>
    <w:p w14:paraId="492FC68C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1 – розуміння історичних аспектів і ключових понять;</w:t>
      </w:r>
    </w:p>
    <w:p w14:paraId="48E0B4B0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2 – використання та розвиток релевантних теорій;</w:t>
      </w:r>
    </w:p>
    <w:p w14:paraId="6F8096E1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3 – розуміння причин, наслідків та етапів ІК: реалістична мета, критерії успішності;</w:t>
      </w:r>
    </w:p>
    <w:p w14:paraId="332938DD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4 – планування кампанії – відповідність цілі індивідуальним прагненням ти вигодам + коректне визначення часу появи повідолення та каналу інформації (нерозвинені країни – радіо ефективніше, ніж друковані матеріали);</w:t>
      </w:r>
    </w:p>
    <w:p w14:paraId="4F774B54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5 – використання попереднього аналізу. Врахування – рівня грамотності, життєвих стандартів, віросповідання та ін. Ключові задвання на даному етапі:</w:t>
      </w:r>
    </w:p>
    <w:p w14:paraId="2E91B593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встановити факти, що мають відношення до аудиторії (побудувати її профіль);</w:t>
      </w:r>
    </w:p>
    <w:p w14:paraId="26EF9D00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визначення факторів, що стосуються поведінки (та навичок, які мають бути відкореговані);</w:t>
      </w:r>
    </w:p>
    <w:p w14:paraId="5166BF3F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встановлення проміжних етапів;</w:t>
      </w:r>
    </w:p>
    <w:p w14:paraId="6DC3C134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визначення типу застосовуваних ЗМІ;</w:t>
      </w:r>
    </w:p>
    <w:p w14:paraId="09D7E89F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6 – аналіз цільової аудиторії. Визначення центральних сегментів цільової аудиторії:</w:t>
      </w:r>
    </w:p>
    <w:p w14:paraId="3B03D1A3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центральний сегмент – люди, які об’єднані певною звичкою, хворобою тощо4</w:t>
      </w:r>
    </w:p>
    <w:p w14:paraId="1C8E24B2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лідери думок (об’єкти наслідування, здатні вплинути на хід ІК як з повизивного, так і з негативного боку);</w:t>
      </w:r>
    </w:p>
    <w:p w14:paraId="14228946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- суспільні політики – люди, що мають вплив на правову, політичну або ресурсну підсистеми.</w:t>
      </w:r>
    </w:p>
    <w:p w14:paraId="0BF8F649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 xml:space="preserve">Завдяки новим технологіям аудиторія трансформується з пасивного отримувача на співучасника. </w:t>
      </w:r>
    </w:p>
    <w:p w14:paraId="690CF64E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 xml:space="preserve">Поняття адресних користувачів мультимедіа – повідомлення не розсилаються всім без виключення, а лише надаються потенційно зацікавленим особам. Наслідок – зростання ступеня ефективности кампаній. Аудиторія трансформується на користувачів. </w:t>
      </w:r>
    </w:p>
    <w:p w14:paraId="3151F97C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lastRenderedPageBreak/>
        <w:t>Активна аудиторія – самістійно відбирає інформацію, виходячи із власних вподобань.</w:t>
      </w:r>
    </w:p>
    <w:p w14:paraId="30DCDA25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 xml:space="preserve">Пасивна аудиторія – залежить від вибору ЗМІ та більше підлягає впливу з їх боку. </w:t>
      </w:r>
    </w:p>
    <w:p w14:paraId="23A99DF3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Дж.Уебстер: 3 моделі медіа-аудиторії:</w:t>
      </w:r>
    </w:p>
    <w:p w14:paraId="3D1D4B52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1 – аудиторія як маса – ті, хто підлягає впливу ЗМІ;</w:t>
      </w:r>
    </w:p>
    <w:p w14:paraId="27DF4CAD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2 – аудиторія як об’єкт – досілідження медіа-ефектів (пропаганди, насильства, порнографії тощо);</w:t>
      </w:r>
    </w:p>
    <w:p w14:paraId="3C8D520E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3 – аудиторія як агент – володіє вільним вибором та більше ключена в процес комунікації.</w:t>
      </w:r>
    </w:p>
    <w:p w14:paraId="1491A853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7 – аналіз і розуміння вибору мас-медіа. Додатково – зв’язки із громадськістю, повідомлення від соціальних служб;</w:t>
      </w:r>
    </w:p>
    <w:p w14:paraId="32F32556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8 – ефективність поєднання медіа-каналів та каналів міжособистісного спілкування;</w:t>
      </w:r>
    </w:p>
    <w:p w14:paraId="34EC1C06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9 – розуміння переваг та недоліків мас-медіа: часто демонструють деструктивні зразки поведінки. ? чому є такими привабливим ?</w:t>
      </w:r>
    </w:p>
    <w:p w14:paraId="60FBEC77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10 – встановлення розумних критеріїв для визначення успішності кампанії та її ітогового оцінювання. Типи моделей оцінки ІК: модель рекламування (акцентує увагу на демонстрації та формування почуття симпатії), модель впливу-контроля (довгострокова оцінка об’єктивних даних щодо зміни поведінки), експериментальна модель (перевірка причинно-наслідкових зв’язків).</w:t>
      </w:r>
    </w:p>
    <w:p w14:paraId="3BAB8CB6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i/>
          <w:iCs/>
          <w:lang w:val="uk-UA"/>
        </w:rPr>
        <w:t>Системно-теоретичний підхід до оцінки ІК:</w:t>
      </w:r>
    </w:p>
    <w:p w14:paraId="3F420925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1 – визначення глибинних цілей та передумов проекту;</w:t>
      </w:r>
    </w:p>
    <w:p w14:paraId="6365A0EA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2 – визначення моделі розвитку на рівні проекту;</w:t>
      </w:r>
    </w:p>
    <w:p w14:paraId="4CDB0DFE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3 – визанчення попередних станів, етапів проекту та перешкод у його реалізації;</w:t>
      </w:r>
    </w:p>
    <w:p w14:paraId="0AB4B313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4 – визначення переліку миттєвих і довгострокових результатів4</w:t>
      </w:r>
    </w:p>
    <w:p w14:paraId="5146A5A9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5 – визначення моделі розвитку на індивідуальному рівні;</w:t>
      </w:r>
    </w:p>
    <w:p w14:paraId="1E4E225B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6 – вибір релевантної методики;</w:t>
      </w:r>
    </w:p>
    <w:p w14:paraId="3688CE5B" w14:textId="77777777" w:rsidR="00101244" w:rsidRPr="00101244" w:rsidRDefault="00101244" w:rsidP="00101244">
      <w:pPr>
        <w:spacing w:after="0"/>
        <w:ind w:firstLine="709"/>
        <w:jc w:val="both"/>
        <w:rPr>
          <w:lang w:val="uk-UA"/>
        </w:rPr>
      </w:pPr>
      <w:r w:rsidRPr="00101244">
        <w:rPr>
          <w:lang w:val="uk-UA"/>
        </w:rPr>
        <w:t>7 – оцінка результатів проекту.</w:t>
      </w:r>
    </w:p>
    <w:p w14:paraId="5ADE57D5" w14:textId="77777777" w:rsidR="00101244" w:rsidRPr="00101244" w:rsidRDefault="00101244" w:rsidP="006C0B77">
      <w:pPr>
        <w:spacing w:after="0"/>
        <w:ind w:firstLine="709"/>
        <w:jc w:val="both"/>
        <w:rPr>
          <w:lang w:val="uk-UA"/>
        </w:rPr>
      </w:pPr>
    </w:p>
    <w:sectPr w:rsidR="00101244" w:rsidRPr="001012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EB"/>
    <w:rsid w:val="00101244"/>
    <w:rsid w:val="00326085"/>
    <w:rsid w:val="004F2DEB"/>
    <w:rsid w:val="00697B3E"/>
    <w:rsid w:val="006B7A4A"/>
    <w:rsid w:val="006C0B77"/>
    <w:rsid w:val="008242FF"/>
    <w:rsid w:val="00870751"/>
    <w:rsid w:val="00922C48"/>
    <w:rsid w:val="00B915B7"/>
    <w:rsid w:val="00CF4D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E941"/>
  <w15:chartTrackingRefBased/>
  <w15:docId w15:val="{5D3DE50F-9F48-4FAF-BB6E-ACEE1840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F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DE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F2DE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F2DEB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F2DEB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4F2DEB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F2DEB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4F2DEB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4F2DEB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4F2DEB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4F2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2DE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4F2D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2DE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4F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2DEB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4F2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D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D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2DEB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4F2D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2335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2025-10-12T11:07:00Z</dcterms:created>
  <dcterms:modified xsi:type="dcterms:W3CDTF">2025-10-12T11:08:00Z</dcterms:modified>
</cp:coreProperties>
</file>