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FDE5" w14:textId="77777777" w:rsidR="009B0C13" w:rsidRDefault="009B0C13" w:rsidP="009B0C13">
      <w:pPr>
        <w:pStyle w:val="31"/>
        <w:numPr>
          <w:ilvl w:val="0"/>
          <w:numId w:val="1"/>
        </w:numPr>
        <w:tabs>
          <w:tab w:val="left" w:pos="3777"/>
        </w:tabs>
        <w:spacing w:before="1"/>
        <w:ind w:left="3777" w:hanging="244"/>
        <w:jc w:val="both"/>
      </w:pPr>
      <w:r>
        <w:t>Опис</w:t>
      </w:r>
      <w:r>
        <w:rPr>
          <w:spacing w:val="-4"/>
        </w:rPr>
        <w:t xml:space="preserve"> </w:t>
      </w:r>
      <w:r>
        <w:t>навчальної</w:t>
      </w:r>
      <w:r>
        <w:rPr>
          <w:spacing w:val="-2"/>
        </w:rPr>
        <w:t xml:space="preserve"> дисципліни</w:t>
      </w:r>
    </w:p>
    <w:p w14:paraId="4E4103FF" w14:textId="77777777" w:rsidR="009B0C13" w:rsidRDefault="009B0C13" w:rsidP="009B0C13">
      <w:pPr>
        <w:pStyle w:val="31"/>
        <w:spacing w:before="3" w:line="242" w:lineRule="auto"/>
        <w:ind w:left="0" w:right="287" w:firstLine="720"/>
        <w:jc w:val="both"/>
      </w:pPr>
      <w:r w:rsidRPr="009074A0">
        <w:t>Метою</w:t>
      </w:r>
      <w:r>
        <w:t xml:space="preserve"> вивчення навчальної дисципліни «</w:t>
      </w:r>
      <w:r w:rsidRPr="008A2097">
        <w:rPr>
          <w:b w:val="0"/>
          <w:bCs w:val="0"/>
        </w:rPr>
        <w:t>Організація, планування та управління виробництвом</w:t>
      </w:r>
      <w:r>
        <w:t xml:space="preserve">» </w:t>
      </w:r>
      <w:r w:rsidRPr="004576C8">
        <w:rPr>
          <w:b w:val="0"/>
          <w:bCs w:val="0"/>
        </w:rPr>
        <w:t xml:space="preserve">є опанувати наукові методи оптимального проектування, дослідження і розрахунку елементів енергетичних систем. Активізація і інтенсифікація процесу навчання досягається використанням сучасних програмних комплексів та продуктів, розглядом проблемних </w:t>
      </w:r>
      <w:r w:rsidRPr="004576C8">
        <w:rPr>
          <w:b w:val="0"/>
          <w:bCs w:val="0"/>
          <w:spacing w:val="-2"/>
        </w:rPr>
        <w:t>ситуацій.</w:t>
      </w:r>
    </w:p>
    <w:p w14:paraId="2F432441" w14:textId="77777777" w:rsidR="009B0C13" w:rsidRDefault="009B0C13" w:rsidP="009B0C13">
      <w:pPr>
        <w:pStyle w:val="a3"/>
        <w:ind w:left="0" w:right="143" w:firstLine="720"/>
        <w:jc w:val="both"/>
      </w:pPr>
      <w:r>
        <w:t xml:space="preserve">Основними </w:t>
      </w:r>
      <w:r w:rsidRPr="009074A0">
        <w:rPr>
          <w:b/>
        </w:rPr>
        <w:t>завданнями</w:t>
      </w:r>
      <w:r>
        <w:t xml:space="preserve"> вивчення дисципліни </w:t>
      </w:r>
      <w:r w:rsidRPr="004576C8">
        <w:t>«Організація, планування та управління виробництвом</w:t>
      </w:r>
      <w:r>
        <w:t>»</w:t>
      </w:r>
      <w:r>
        <w:rPr>
          <w:spacing w:val="-4"/>
        </w:rPr>
        <w:t xml:space="preserve"> </w:t>
      </w:r>
      <w:r>
        <w:t>є: закріплення існуючих знань, на базі яких будуть отриманні професійні та прикладні знання проведення наукових досліджень.</w:t>
      </w:r>
    </w:p>
    <w:p w14:paraId="3DD2AA8E" w14:textId="77777777" w:rsidR="009B0C13" w:rsidRPr="007700B8" w:rsidRDefault="009B0C13" w:rsidP="009B0C13">
      <w:pPr>
        <w:ind w:firstLine="720"/>
        <w:jc w:val="both"/>
        <w:rPr>
          <w:sz w:val="24"/>
          <w:szCs w:val="24"/>
        </w:rPr>
      </w:pPr>
      <w:r w:rsidRPr="007700B8">
        <w:rPr>
          <w:sz w:val="24"/>
          <w:szCs w:val="24"/>
        </w:rPr>
        <w:t xml:space="preserve">Згідно зі структурно-логічною схемою освітньо-професійної програми дисципліни «Організація, планування та управління виробництвом» викладається на 2 курсі, у </w:t>
      </w:r>
      <w:r>
        <w:rPr>
          <w:sz w:val="24"/>
          <w:szCs w:val="24"/>
        </w:rPr>
        <w:t>третьому</w:t>
      </w:r>
      <w:r w:rsidRPr="007700B8">
        <w:rPr>
          <w:sz w:val="24"/>
          <w:szCs w:val="24"/>
        </w:rPr>
        <w:t xml:space="preserve"> семестрі і базується на освітніх компонентах, що викладались під час навчання на рівні вищої освіти бакалавр.</w:t>
      </w:r>
    </w:p>
    <w:p w14:paraId="55E5D45D" w14:textId="77777777" w:rsidR="009B0C13" w:rsidRDefault="009B0C13" w:rsidP="009B0C13">
      <w:pPr>
        <w:pStyle w:val="11"/>
        <w:spacing w:before="254"/>
        <w:ind w:right="1645" w:firstLine="0"/>
        <w:jc w:val="center"/>
      </w:pPr>
      <w:r>
        <w:t>Паспорт</w:t>
      </w:r>
      <w:r>
        <w:rPr>
          <w:spacing w:val="-13"/>
        </w:rPr>
        <w:t xml:space="preserve"> </w:t>
      </w:r>
      <w:r>
        <w:t>навчальної</w:t>
      </w:r>
      <w:r>
        <w:rPr>
          <w:spacing w:val="-12"/>
        </w:rPr>
        <w:t xml:space="preserve"> </w:t>
      </w:r>
      <w:r>
        <w:rPr>
          <w:spacing w:val="-2"/>
        </w:rPr>
        <w:t>дисципліни</w:t>
      </w:r>
    </w:p>
    <w:p w14:paraId="6D10D843" w14:textId="77777777" w:rsidR="009B0C13" w:rsidRDefault="009B0C13" w:rsidP="009B0C13">
      <w:pPr>
        <w:pStyle w:val="a3"/>
        <w:spacing w:before="6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521"/>
      </w:tblGrid>
      <w:tr w:rsidR="009B0C13" w14:paraId="3864EED8" w14:textId="77777777" w:rsidTr="00CA0A7F">
        <w:trPr>
          <w:trHeight w:val="883"/>
        </w:trPr>
        <w:tc>
          <w:tcPr>
            <w:tcW w:w="2978" w:type="dxa"/>
          </w:tcPr>
          <w:p w14:paraId="3A45726F" w14:textId="77777777" w:rsidR="009B0C13" w:rsidRDefault="009B0C13" w:rsidP="00CA0A7F">
            <w:pPr>
              <w:pStyle w:val="TableParagraph"/>
              <w:spacing w:before="82"/>
              <w:ind w:left="0"/>
              <w:rPr>
                <w:b/>
                <w:sz w:val="20"/>
              </w:rPr>
            </w:pPr>
          </w:p>
          <w:p w14:paraId="1543DBFA" w14:textId="77777777" w:rsidR="009B0C13" w:rsidRDefault="009B0C13" w:rsidP="00CA0A7F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Нормативні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показники</w:t>
            </w:r>
          </w:p>
        </w:tc>
        <w:tc>
          <w:tcPr>
            <w:tcW w:w="6521" w:type="dxa"/>
          </w:tcPr>
          <w:p w14:paraId="675ABC84" w14:textId="77777777" w:rsidR="009B0C13" w:rsidRDefault="009B0C13" w:rsidP="00CA0A7F">
            <w:pPr>
              <w:pStyle w:val="TableParagraph"/>
              <w:spacing w:before="45"/>
              <w:ind w:left="0"/>
              <w:rPr>
                <w:b/>
              </w:rPr>
            </w:pPr>
          </w:p>
          <w:p w14:paraId="1EFF04B9" w14:textId="77777777" w:rsidR="009B0C13" w:rsidRDefault="009B0C13" w:rsidP="00CA0A7F">
            <w:pPr>
              <w:pStyle w:val="TableParagraph"/>
              <w:spacing w:before="1"/>
              <w:ind w:left="1838"/>
              <w:rPr>
                <w:b/>
              </w:rPr>
            </w:pPr>
            <w:r>
              <w:rPr>
                <w:b/>
              </w:rPr>
              <w:t>денна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форма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здобуття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освіти</w:t>
            </w:r>
          </w:p>
        </w:tc>
      </w:tr>
      <w:tr w:rsidR="009B0C13" w14:paraId="13428D58" w14:textId="77777777" w:rsidTr="00CA0A7F">
        <w:trPr>
          <w:trHeight w:val="186"/>
        </w:trPr>
        <w:tc>
          <w:tcPr>
            <w:tcW w:w="2978" w:type="dxa"/>
          </w:tcPr>
          <w:p w14:paraId="132BB2CE" w14:textId="77777777" w:rsidR="009B0C13" w:rsidRDefault="009B0C13" w:rsidP="00CA0A7F">
            <w:pPr>
              <w:pStyle w:val="TableParagraph"/>
              <w:spacing w:line="167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1</w:t>
            </w:r>
          </w:p>
        </w:tc>
        <w:tc>
          <w:tcPr>
            <w:tcW w:w="6521" w:type="dxa"/>
          </w:tcPr>
          <w:p w14:paraId="0E77569D" w14:textId="77777777" w:rsidR="009B0C13" w:rsidRDefault="009B0C13" w:rsidP="00CA0A7F">
            <w:pPr>
              <w:pStyle w:val="TableParagraph"/>
              <w:spacing w:line="167" w:lineRule="exact"/>
              <w:ind w:left="79" w:right="6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2</w:t>
            </w:r>
          </w:p>
        </w:tc>
      </w:tr>
      <w:tr w:rsidR="009B0C13" w14:paraId="3178069B" w14:textId="77777777" w:rsidTr="00CA0A7F">
        <w:trPr>
          <w:trHeight w:val="436"/>
        </w:trPr>
        <w:tc>
          <w:tcPr>
            <w:tcW w:w="2978" w:type="dxa"/>
          </w:tcPr>
          <w:p w14:paraId="7B35274E" w14:textId="77777777" w:rsidR="009B0C13" w:rsidRDefault="009B0C13" w:rsidP="00CA0A7F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дисципліни</w:t>
            </w:r>
          </w:p>
        </w:tc>
        <w:tc>
          <w:tcPr>
            <w:tcW w:w="6521" w:type="dxa"/>
          </w:tcPr>
          <w:p w14:paraId="4131E055" w14:textId="77777777" w:rsidR="009B0C13" w:rsidRDefault="009B0C13" w:rsidP="00CA0A7F">
            <w:pPr>
              <w:pStyle w:val="TableParagraph"/>
              <w:spacing w:before="31"/>
              <w:ind w:left="79" w:right="7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Вибіркова</w:t>
            </w:r>
          </w:p>
        </w:tc>
      </w:tr>
      <w:tr w:rsidR="009B0C13" w14:paraId="3B1F382E" w14:textId="77777777" w:rsidTr="00CA0A7F">
        <w:trPr>
          <w:trHeight w:val="633"/>
        </w:trPr>
        <w:tc>
          <w:tcPr>
            <w:tcW w:w="2978" w:type="dxa"/>
          </w:tcPr>
          <w:p w14:paraId="64A22719" w14:textId="77777777" w:rsidR="009B0C13" w:rsidRDefault="009B0C13" w:rsidP="00CA0A7F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6521" w:type="dxa"/>
          </w:tcPr>
          <w:p w14:paraId="3BC2CC2A" w14:textId="77777777" w:rsidR="009B0C13" w:rsidRDefault="009B0C13" w:rsidP="00CA0A7F">
            <w:pPr>
              <w:pStyle w:val="TableParagraph"/>
              <w:spacing w:line="268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й</w:t>
            </w:r>
          </w:p>
        </w:tc>
      </w:tr>
      <w:tr w:rsidR="009B0C13" w14:paraId="33C6C0F6" w14:textId="77777777" w:rsidTr="00CA0A7F">
        <w:trPr>
          <w:trHeight w:val="513"/>
        </w:trPr>
        <w:tc>
          <w:tcPr>
            <w:tcW w:w="2978" w:type="dxa"/>
          </w:tcPr>
          <w:p w14:paraId="37BB1D25" w14:textId="77777777" w:rsidR="009B0C13" w:rsidRDefault="009B0C13" w:rsidP="00CA0A7F">
            <w:pPr>
              <w:pStyle w:val="TableParagraph"/>
              <w:spacing w:before="87"/>
              <w:ind w:left="105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ECTS</w:t>
            </w:r>
          </w:p>
        </w:tc>
        <w:tc>
          <w:tcPr>
            <w:tcW w:w="6521" w:type="dxa"/>
          </w:tcPr>
          <w:p w14:paraId="2059E584" w14:textId="77777777" w:rsidR="009B0C13" w:rsidRDefault="009B0C13" w:rsidP="00CA0A7F">
            <w:pPr>
              <w:pStyle w:val="TableParagraph"/>
              <w:spacing w:before="87"/>
              <w:ind w:left="7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B0C13" w14:paraId="5E1C6161" w14:textId="77777777" w:rsidTr="00CA0A7F">
        <w:trPr>
          <w:trHeight w:val="436"/>
        </w:trPr>
        <w:tc>
          <w:tcPr>
            <w:tcW w:w="2978" w:type="dxa"/>
          </w:tcPr>
          <w:p w14:paraId="6AE56632" w14:textId="77777777" w:rsidR="009B0C13" w:rsidRDefault="009B0C13" w:rsidP="00CA0A7F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6521" w:type="dxa"/>
          </w:tcPr>
          <w:p w14:paraId="7D8E7B47" w14:textId="77777777" w:rsidR="009B0C13" w:rsidRDefault="009B0C13" w:rsidP="00CA0A7F">
            <w:pPr>
              <w:pStyle w:val="TableParagraph"/>
              <w:spacing w:before="49"/>
              <w:ind w:left="79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9B0C13" w14:paraId="1141A368" w14:textId="77777777" w:rsidTr="00CA0A7F">
        <w:trPr>
          <w:trHeight w:val="316"/>
        </w:trPr>
        <w:tc>
          <w:tcPr>
            <w:tcW w:w="2978" w:type="dxa"/>
          </w:tcPr>
          <w:p w14:paraId="01D0B98F" w14:textId="77777777" w:rsidR="009B0C13" w:rsidRDefault="009B0C13" w:rsidP="00CA0A7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Лекційні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6521" w:type="dxa"/>
          </w:tcPr>
          <w:p w14:paraId="3F6B44F8" w14:textId="77777777" w:rsidR="009B0C13" w:rsidRDefault="009B0C13" w:rsidP="00CA0A7F">
            <w:pPr>
              <w:pStyle w:val="TableParagraph"/>
              <w:spacing w:line="268" w:lineRule="exact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</w:tr>
      <w:tr w:rsidR="009B0C13" w14:paraId="08E8B026" w14:textId="77777777" w:rsidTr="00CA0A7F">
        <w:trPr>
          <w:trHeight w:val="681"/>
        </w:trPr>
        <w:tc>
          <w:tcPr>
            <w:tcW w:w="2978" w:type="dxa"/>
          </w:tcPr>
          <w:p w14:paraId="1E2697F0" w14:textId="77777777" w:rsidR="009B0C13" w:rsidRDefault="009B0C13" w:rsidP="00CA0A7F">
            <w:pPr>
              <w:pStyle w:val="TableParagraph"/>
              <w:spacing w:before="174"/>
              <w:ind w:left="105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Практичні</w:t>
            </w:r>
          </w:p>
        </w:tc>
        <w:tc>
          <w:tcPr>
            <w:tcW w:w="6521" w:type="dxa"/>
          </w:tcPr>
          <w:p w14:paraId="499F8CC8" w14:textId="77777777" w:rsidR="009B0C13" w:rsidRDefault="009B0C13" w:rsidP="00CA0A7F">
            <w:pPr>
              <w:pStyle w:val="TableParagraph"/>
              <w:spacing w:before="174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</w:tr>
      <w:tr w:rsidR="009B0C13" w14:paraId="5A47C08A" w14:textId="77777777" w:rsidTr="00CA0A7F">
        <w:trPr>
          <w:trHeight w:val="316"/>
        </w:trPr>
        <w:tc>
          <w:tcPr>
            <w:tcW w:w="2978" w:type="dxa"/>
          </w:tcPr>
          <w:p w14:paraId="61BA4CF6" w14:textId="77777777" w:rsidR="009B0C13" w:rsidRDefault="009B0C13" w:rsidP="00CA0A7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робота</w:t>
            </w:r>
          </w:p>
        </w:tc>
        <w:tc>
          <w:tcPr>
            <w:tcW w:w="6521" w:type="dxa"/>
          </w:tcPr>
          <w:p w14:paraId="43276B2F" w14:textId="77777777" w:rsidR="009B0C13" w:rsidRDefault="009B0C13" w:rsidP="00CA0A7F">
            <w:pPr>
              <w:pStyle w:val="TableParagraph"/>
              <w:spacing w:line="268" w:lineRule="exact"/>
              <w:ind w:left="79" w:right="64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</w:tr>
      <w:tr w:rsidR="009B0C13" w14:paraId="7EBE69D8" w14:textId="77777777" w:rsidTr="00CA0A7F">
        <w:trPr>
          <w:trHeight w:val="604"/>
        </w:trPr>
        <w:tc>
          <w:tcPr>
            <w:tcW w:w="2978" w:type="dxa"/>
          </w:tcPr>
          <w:p w14:paraId="0DB25F81" w14:textId="77777777" w:rsidR="009B0C13" w:rsidRDefault="009B0C13" w:rsidP="00CA0A7F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Консультації</w:t>
            </w:r>
          </w:p>
        </w:tc>
        <w:tc>
          <w:tcPr>
            <w:tcW w:w="6521" w:type="dxa"/>
            <w:vAlign w:val="center"/>
          </w:tcPr>
          <w:p w14:paraId="0F068486" w14:textId="77777777" w:rsidR="009B0C13" w:rsidRDefault="009B0C13" w:rsidP="00CA0A7F">
            <w:pPr>
              <w:spacing w:before="1"/>
              <w:ind w:left="107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Графік консультацій представлено на сайті ЗНУ: </w:t>
            </w:r>
          </w:p>
          <w:p w14:paraId="0816C60D" w14:textId="77777777" w:rsidR="009B0C13" w:rsidRDefault="009B0C13" w:rsidP="00CA0A7F">
            <w:pPr>
              <w:spacing w:before="1"/>
              <w:ind w:left="107"/>
              <w:jc w:val="both"/>
              <w:rPr>
                <w:sz w:val="20"/>
                <w:szCs w:val="20"/>
              </w:rPr>
            </w:pP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https://www.znu.edu.ua/ukr/university/11929/12619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CB88B21" w14:textId="77777777" w:rsidR="009B0C13" w:rsidRDefault="009B0C13" w:rsidP="00CA0A7F">
            <w:pPr>
              <w:pStyle w:val="TableParagraph"/>
              <w:spacing w:before="155"/>
              <w:ind w:left="109"/>
              <w:rPr>
                <w:sz w:val="24"/>
              </w:rPr>
            </w:pPr>
            <w:r>
              <w:rPr>
                <w:i/>
                <w:sz w:val="20"/>
                <w:szCs w:val="20"/>
              </w:rPr>
              <w:t xml:space="preserve">формат проведення консультацій – дистанційний, із застосування платформи ZOOM або </w:t>
            </w:r>
            <w:proofErr w:type="spellStart"/>
            <w:r>
              <w:rPr>
                <w:i/>
                <w:sz w:val="20"/>
                <w:szCs w:val="20"/>
              </w:rPr>
              <w:t>Google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Meet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9B0C13" w14:paraId="77F9B6A1" w14:textId="77777777" w:rsidTr="00CA0A7F">
        <w:trPr>
          <w:trHeight w:val="633"/>
        </w:trPr>
        <w:tc>
          <w:tcPr>
            <w:tcW w:w="2978" w:type="dxa"/>
          </w:tcPr>
          <w:p w14:paraId="69EF8338" w14:textId="77777777" w:rsidR="009B0C13" w:rsidRDefault="009B0C13" w:rsidP="00CA0A7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підсумкового</w:t>
            </w:r>
          </w:p>
          <w:p w14:paraId="2489F002" w14:textId="77777777" w:rsidR="009B0C13" w:rsidRDefault="009B0C13" w:rsidP="00CA0A7F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семестрового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контролю:</w:t>
            </w:r>
          </w:p>
        </w:tc>
        <w:tc>
          <w:tcPr>
            <w:tcW w:w="6521" w:type="dxa"/>
          </w:tcPr>
          <w:p w14:paraId="5AC94F72" w14:textId="77777777" w:rsidR="009B0C13" w:rsidRDefault="009B0C13" w:rsidP="00CA0A7F">
            <w:pPr>
              <w:pStyle w:val="TableParagraph"/>
              <w:spacing w:before="132"/>
              <w:ind w:left="79" w:right="7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залік</w:t>
            </w:r>
          </w:p>
        </w:tc>
      </w:tr>
      <w:tr w:rsidR="009B0C13" w14:paraId="7F0C9E36" w14:textId="77777777" w:rsidTr="00CA0A7F">
        <w:trPr>
          <w:trHeight w:val="954"/>
        </w:trPr>
        <w:tc>
          <w:tcPr>
            <w:tcW w:w="2978" w:type="dxa"/>
          </w:tcPr>
          <w:p w14:paraId="41E0461C" w14:textId="77777777" w:rsidR="009B0C13" w:rsidRDefault="009B0C13" w:rsidP="00CA0A7F">
            <w:pPr>
              <w:pStyle w:val="TableParagraph"/>
              <w:spacing w:line="276" w:lineRule="auto"/>
              <w:ind w:left="105" w:right="158"/>
              <w:rPr>
                <w:sz w:val="24"/>
              </w:rPr>
            </w:pPr>
            <w:r>
              <w:rPr>
                <w:sz w:val="24"/>
              </w:rPr>
              <w:t>Посилання на електронний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СЕЗН</w:t>
            </w:r>
          </w:p>
          <w:p w14:paraId="53EE7151" w14:textId="77777777" w:rsidR="009B0C13" w:rsidRDefault="009B0C13" w:rsidP="00CA0A7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(платформа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Moodle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6521" w:type="dxa"/>
          </w:tcPr>
          <w:p w14:paraId="7D7E25C3" w14:textId="77777777" w:rsidR="009B0C13" w:rsidRDefault="009B0C13" w:rsidP="00CA0A7F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14:paraId="6B7B94E9" w14:textId="77777777" w:rsidR="009B0C13" w:rsidRDefault="009B0C13" w:rsidP="00CA0A7F">
            <w:pPr>
              <w:pStyle w:val="TableParagraph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https://moodle.znu.edu.ua/course/view.php?id=</w:t>
            </w:r>
            <w:r>
              <w:t xml:space="preserve"> </w:t>
            </w:r>
            <w:r w:rsidRPr="009074A0">
              <w:rPr>
                <w:color w:val="0000FF"/>
                <w:spacing w:val="-2"/>
                <w:sz w:val="24"/>
                <w:u w:val="single" w:color="0000FF"/>
              </w:rPr>
              <w:t>8670</w:t>
            </w:r>
          </w:p>
        </w:tc>
      </w:tr>
    </w:tbl>
    <w:p w14:paraId="221E694B" w14:textId="77777777" w:rsidR="009B0C13" w:rsidRDefault="009B0C13" w:rsidP="009B0C13">
      <w:pPr>
        <w:pStyle w:val="TableParagraph"/>
        <w:ind w:left="0"/>
        <w:rPr>
          <w:sz w:val="24"/>
        </w:rPr>
        <w:sectPr w:rsidR="009B0C13">
          <w:headerReference w:type="default" r:id="rId8"/>
          <w:pgSz w:w="11910" w:h="16840"/>
          <w:pgMar w:top="980" w:right="283" w:bottom="280" w:left="1417" w:header="723" w:footer="0" w:gutter="0"/>
          <w:cols w:space="720"/>
        </w:sectPr>
      </w:pPr>
    </w:p>
    <w:p w14:paraId="03BA167A" w14:textId="77777777" w:rsidR="009B0C13" w:rsidRDefault="009B0C13" w:rsidP="009B0C13">
      <w:pPr>
        <w:pStyle w:val="a3"/>
        <w:spacing w:before="95"/>
        <w:ind w:left="0"/>
        <w:rPr>
          <w:b/>
        </w:rPr>
      </w:pPr>
    </w:p>
    <w:p w14:paraId="5B348DBE" w14:textId="77777777" w:rsidR="005F64A4" w:rsidRDefault="005F64A4"/>
    <w:sectPr w:rsidR="005F6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C398" w14:textId="77777777" w:rsidR="0075356C" w:rsidRDefault="0075356C" w:rsidP="009B0C13">
      <w:r>
        <w:separator/>
      </w:r>
    </w:p>
  </w:endnote>
  <w:endnote w:type="continuationSeparator" w:id="0">
    <w:p w14:paraId="23200780" w14:textId="77777777" w:rsidR="0075356C" w:rsidRDefault="0075356C" w:rsidP="009B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D36E6" w14:textId="77777777" w:rsidR="0075356C" w:rsidRDefault="0075356C" w:rsidP="009B0C13">
      <w:r>
        <w:separator/>
      </w:r>
    </w:p>
  </w:footnote>
  <w:footnote w:type="continuationSeparator" w:id="0">
    <w:p w14:paraId="14C7CFA5" w14:textId="77777777" w:rsidR="0075356C" w:rsidRDefault="0075356C" w:rsidP="009B0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523D" w14:textId="74AB37F5" w:rsidR="00303E32" w:rsidRDefault="0075356C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432DD"/>
    <w:multiLevelType w:val="hybridMultilevel"/>
    <w:tmpl w:val="F1C478CE"/>
    <w:lvl w:ilvl="0" w:tplc="F5F20150">
      <w:start w:val="1"/>
      <w:numFmt w:val="decimal"/>
      <w:lvlText w:val="%1."/>
      <w:lvlJc w:val="left"/>
      <w:pPr>
        <w:ind w:left="3778" w:hanging="245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C336A97A">
      <w:numFmt w:val="bullet"/>
      <w:lvlText w:val="•"/>
      <w:lvlJc w:val="left"/>
      <w:pPr>
        <w:ind w:left="4422" w:hanging="245"/>
      </w:pPr>
      <w:rPr>
        <w:rFonts w:hint="default"/>
        <w:lang w:val="uk-UA" w:eastAsia="en-US" w:bidi="ar-SA"/>
      </w:rPr>
    </w:lvl>
    <w:lvl w:ilvl="2" w:tplc="2E108C9C">
      <w:numFmt w:val="bullet"/>
      <w:lvlText w:val="•"/>
      <w:lvlJc w:val="left"/>
      <w:pPr>
        <w:ind w:left="5064" w:hanging="245"/>
      </w:pPr>
      <w:rPr>
        <w:rFonts w:hint="default"/>
        <w:lang w:val="uk-UA" w:eastAsia="en-US" w:bidi="ar-SA"/>
      </w:rPr>
    </w:lvl>
    <w:lvl w:ilvl="3" w:tplc="ACEEDB44">
      <w:numFmt w:val="bullet"/>
      <w:lvlText w:val="•"/>
      <w:lvlJc w:val="left"/>
      <w:pPr>
        <w:ind w:left="5707" w:hanging="245"/>
      </w:pPr>
      <w:rPr>
        <w:rFonts w:hint="default"/>
        <w:lang w:val="uk-UA" w:eastAsia="en-US" w:bidi="ar-SA"/>
      </w:rPr>
    </w:lvl>
    <w:lvl w:ilvl="4" w:tplc="82125D5C">
      <w:numFmt w:val="bullet"/>
      <w:lvlText w:val="•"/>
      <w:lvlJc w:val="left"/>
      <w:pPr>
        <w:ind w:left="6349" w:hanging="245"/>
      </w:pPr>
      <w:rPr>
        <w:rFonts w:hint="default"/>
        <w:lang w:val="uk-UA" w:eastAsia="en-US" w:bidi="ar-SA"/>
      </w:rPr>
    </w:lvl>
    <w:lvl w:ilvl="5" w:tplc="0D62C3C0">
      <w:numFmt w:val="bullet"/>
      <w:lvlText w:val="•"/>
      <w:lvlJc w:val="left"/>
      <w:pPr>
        <w:ind w:left="6992" w:hanging="245"/>
      </w:pPr>
      <w:rPr>
        <w:rFonts w:hint="default"/>
        <w:lang w:val="uk-UA" w:eastAsia="en-US" w:bidi="ar-SA"/>
      </w:rPr>
    </w:lvl>
    <w:lvl w:ilvl="6" w:tplc="44840936">
      <w:numFmt w:val="bullet"/>
      <w:lvlText w:val="•"/>
      <w:lvlJc w:val="left"/>
      <w:pPr>
        <w:ind w:left="7634" w:hanging="245"/>
      </w:pPr>
      <w:rPr>
        <w:rFonts w:hint="default"/>
        <w:lang w:val="uk-UA" w:eastAsia="en-US" w:bidi="ar-SA"/>
      </w:rPr>
    </w:lvl>
    <w:lvl w:ilvl="7" w:tplc="BAB65BA8">
      <w:numFmt w:val="bullet"/>
      <w:lvlText w:val="•"/>
      <w:lvlJc w:val="left"/>
      <w:pPr>
        <w:ind w:left="8276" w:hanging="245"/>
      </w:pPr>
      <w:rPr>
        <w:rFonts w:hint="default"/>
        <w:lang w:val="uk-UA" w:eastAsia="en-US" w:bidi="ar-SA"/>
      </w:rPr>
    </w:lvl>
    <w:lvl w:ilvl="8" w:tplc="A224AC34">
      <w:numFmt w:val="bullet"/>
      <w:lvlText w:val="•"/>
      <w:lvlJc w:val="left"/>
      <w:pPr>
        <w:ind w:left="8919" w:hanging="24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13"/>
    <w:rsid w:val="005F64A4"/>
    <w:rsid w:val="0075356C"/>
    <w:rsid w:val="009B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1D16A"/>
  <w15:chartTrackingRefBased/>
  <w15:docId w15:val="{9961B4E7-A869-D042-9DCA-9F7DB04C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B0C1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0C1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0C13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B0C13"/>
    <w:rPr>
      <w:rFonts w:ascii="Times New Roman" w:eastAsia="Times New Roman" w:hAnsi="Times New Roman" w:cs="Times New Roman"/>
      <w:lang w:val="uk-UA"/>
    </w:rPr>
  </w:style>
  <w:style w:type="paragraph" w:customStyle="1" w:styleId="11">
    <w:name w:val="Заголовок 11"/>
    <w:basedOn w:val="a"/>
    <w:uiPriority w:val="1"/>
    <w:qFormat/>
    <w:rsid w:val="009B0C13"/>
    <w:pPr>
      <w:ind w:left="1919" w:hanging="282"/>
      <w:outlineLvl w:val="1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9B0C13"/>
    <w:pPr>
      <w:ind w:left="282"/>
      <w:outlineLvl w:val="3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B0C13"/>
    <w:pPr>
      <w:ind w:left="110"/>
    </w:pPr>
  </w:style>
  <w:style w:type="paragraph" w:styleId="a5">
    <w:name w:val="header"/>
    <w:basedOn w:val="a"/>
    <w:link w:val="a6"/>
    <w:uiPriority w:val="99"/>
    <w:unhideWhenUsed/>
    <w:rsid w:val="009B0C13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0C13"/>
    <w:rPr>
      <w:rFonts w:ascii="Times New Roman" w:eastAsia="Times New Roman" w:hAnsi="Times New Roman" w:cs="Times New Roman"/>
      <w:sz w:val="22"/>
      <w:szCs w:val="22"/>
      <w:lang w:val="uk-UA"/>
    </w:rPr>
  </w:style>
  <w:style w:type="paragraph" w:styleId="a7">
    <w:name w:val="footer"/>
    <w:basedOn w:val="a"/>
    <w:link w:val="a8"/>
    <w:uiPriority w:val="99"/>
    <w:unhideWhenUsed/>
    <w:rsid w:val="009B0C13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0C13"/>
    <w:rPr>
      <w:rFonts w:ascii="Times New Roman" w:eastAsia="Times New Roman" w:hAnsi="Times New Roman" w:cs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nu.edu.ua/ukr/university/11929/126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2025-10-16T08:24:00Z</dcterms:created>
  <dcterms:modified xsi:type="dcterms:W3CDTF">2025-10-16T08:25:00Z</dcterms:modified>
</cp:coreProperties>
</file>