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B7" w:rsidRPr="006651B7" w:rsidRDefault="006651B7" w:rsidP="006651B7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6651B7">
        <w:rPr>
          <w:rFonts w:ascii="Times New Roman" w:hAnsi="Times New Roman"/>
          <w:b/>
          <w:sz w:val="28"/>
          <w:szCs w:val="28"/>
        </w:rPr>
        <w:t>Лекція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  <w:r w:rsidRPr="006651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Освітній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простір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середовище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ЗДО: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сучасні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651B7">
        <w:rPr>
          <w:rFonts w:ascii="Times New Roman" w:hAnsi="Times New Roman"/>
          <w:b/>
          <w:sz w:val="28"/>
          <w:szCs w:val="28"/>
        </w:rPr>
        <w:t>нормативно-правові</w:t>
      </w:r>
      <w:proofErr w:type="spellEnd"/>
      <w:r w:rsidRPr="006651B7">
        <w:rPr>
          <w:rFonts w:ascii="Times New Roman" w:hAnsi="Times New Roman"/>
          <w:b/>
          <w:sz w:val="28"/>
          <w:szCs w:val="28"/>
        </w:rPr>
        <w:t xml:space="preserve"> засади</w:t>
      </w:r>
    </w:p>
    <w:p w:rsidR="0009765F" w:rsidRPr="005D646A" w:rsidRDefault="006651B7" w:rsidP="006651B7">
      <w:pPr>
        <w:jc w:val="both"/>
        <w:rPr>
          <w:rFonts w:ascii="Times New Roman" w:hAnsi="Times New Roman"/>
          <w:lang w:val="uk-UA"/>
        </w:rPr>
      </w:pPr>
      <w:r w:rsidRPr="005D646A">
        <w:rPr>
          <w:rFonts w:ascii="Times New Roman" w:hAnsi="Times New Roman"/>
          <w:lang w:val="uk-UA"/>
        </w:rPr>
        <w:t xml:space="preserve">Сутність понять «освітній простір» та «освітнє середовище» у дошкільній освіті. Характеристика структурних компонентів освітнього середовища ЗДО. Нормативно-правові документи, що регламентують організацію освітнього простору. </w:t>
      </w:r>
    </w:p>
    <w:p w:rsidR="005D646A" w:rsidRDefault="005D646A" w:rsidP="006651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51B7" w:rsidRDefault="006651B7" w:rsidP="006651B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651B7">
        <w:rPr>
          <w:rFonts w:ascii="Times New Roman" w:hAnsi="Times New Roman"/>
          <w:b/>
          <w:sz w:val="28"/>
          <w:szCs w:val="28"/>
          <w:lang w:val="uk-UA"/>
        </w:rPr>
        <w:t xml:space="preserve">Сутність понять «освітній простір» та «освітнє середовище» у дошкільній освіті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8"/>
        <w:gridCol w:w="3721"/>
        <w:gridCol w:w="3726"/>
      </w:tblGrid>
      <w:tr w:rsidR="006651B7" w:rsidRPr="006651B7" w:rsidTr="006651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Освітній простір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Освітнє середовище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Визначення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Цілісне, організоване середовище для розвитку, навчання та виховання дітей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Складова освітнього простору, що включає матеріальні, навчально-методичні та організаційні ресурси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Компоненти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Фізичні, соціальні, матеріальні, психоемоційні, цифрові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Матеріальні ресурси, навчальні засоби, організаційні умови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Функція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Створює умови для всебічного розвитку та взаємодії дітей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Формує якість педагогічної взаємодії та забезпечує реалізацію освітніх завдань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 xml:space="preserve">Доступність, гнучкість, безпека, </w:t>
            </w:r>
            <w:proofErr w:type="spellStart"/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інтегративність</w:t>
            </w:r>
            <w:proofErr w:type="spellEnd"/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, стимулюючий характер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Забезпечує навчальну, ігрову, творчу, рухову та сенсорну діяльність дітей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Підходи в організації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proofErr w:type="spellStart"/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Дитиноцентричний</w:t>
            </w:r>
            <w:proofErr w:type="spellEnd"/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, інтегративний, інноваційний, інклюзивний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Використання дидактичних матеріалів, зонування, організація діяльності відповідно до потреб дітей</w:t>
            </w:r>
          </w:p>
        </w:tc>
      </w:tr>
      <w:tr w:rsidR="006651B7" w:rsidRPr="006651B7" w:rsidTr="00665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Нормативна основа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Закон «Про освіту», Державний стандарт дошкільної освіти, методичні рекомендації</w:t>
            </w:r>
          </w:p>
        </w:tc>
        <w:tc>
          <w:tcPr>
            <w:tcW w:w="0" w:type="auto"/>
            <w:vAlign w:val="center"/>
            <w:hideMark/>
          </w:tcPr>
          <w:p w:rsidR="006651B7" w:rsidRPr="006651B7" w:rsidRDefault="006651B7" w:rsidP="006651B7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6651B7">
              <w:rPr>
                <w:rFonts w:ascii="Times New Roman" w:eastAsia="Times New Roman" w:hAnsi="Times New Roman"/>
                <w:lang w:val="uk-UA" w:eastAsia="uk-UA" w:bidi="ar-SA"/>
              </w:rPr>
              <w:t>Закон «Про дошкільну освіту», внутрішні нормативні документи закладу, методичні рекомендації</w:t>
            </w:r>
          </w:p>
        </w:tc>
      </w:tr>
    </w:tbl>
    <w:p w:rsidR="006651B7" w:rsidRDefault="006651B7" w:rsidP="006651B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651B7" w:rsidRDefault="006651B7" w:rsidP="0098132E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51B7">
        <w:rPr>
          <w:rFonts w:ascii="Times New Roman" w:hAnsi="Times New Roman"/>
          <w:b/>
          <w:sz w:val="28"/>
          <w:szCs w:val="28"/>
          <w:lang w:val="uk-UA"/>
        </w:rPr>
        <w:t>Характеристика структурних компонентів освітнього середовища ЗДО.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8132E">
        <w:rPr>
          <w:rFonts w:ascii="Times New Roman" w:hAnsi="Times New Roman"/>
          <w:i/>
          <w:sz w:val="28"/>
          <w:szCs w:val="28"/>
          <w:lang w:val="uk-UA"/>
        </w:rPr>
        <w:t>Фізичне середовище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8132E">
        <w:rPr>
          <w:rFonts w:ascii="Times New Roman" w:hAnsi="Times New Roman"/>
          <w:sz w:val="28"/>
          <w:szCs w:val="28"/>
          <w:lang w:val="uk-UA"/>
        </w:rPr>
        <w:t>Просторове зонування: виділення зон для ігрової, навчальної, творчої, рухової, сенсорної та відпочинкової діяльності.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>Обладнання та меблі: дитячі столи, стільці, полиці, ігрові конструкції, матеріали для творчості та досліджень.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>Безпека та доступність: простір без гострих кутів, зручне розташування меблів, можливість використання дітьми різного віку та з ООП.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8132E">
        <w:rPr>
          <w:rFonts w:ascii="Times New Roman" w:hAnsi="Times New Roman"/>
          <w:i/>
          <w:sz w:val="28"/>
          <w:szCs w:val="28"/>
          <w:lang w:val="uk-UA"/>
        </w:rPr>
        <w:t>Соціальне середовище</w:t>
      </w:r>
      <w:r w:rsidR="0098132E" w:rsidRPr="0098132E">
        <w:rPr>
          <w:rFonts w:ascii="Times New Roman" w:hAnsi="Times New Roman"/>
          <w:i/>
          <w:sz w:val="28"/>
          <w:szCs w:val="28"/>
          <w:lang w:val="uk-UA"/>
        </w:rPr>
        <w:t>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>Взаємодія дітей між собою: розвиток комунікативних навичок, уміння працювати в команді, вирішувати конфлікти.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 xml:space="preserve">Взаємодія з педагогами: підтримка, наставництво, роль </w:t>
      </w:r>
      <w:proofErr w:type="spellStart"/>
      <w:r w:rsidRPr="0098132E">
        <w:rPr>
          <w:rFonts w:ascii="Times New Roman" w:hAnsi="Times New Roman"/>
          <w:sz w:val="28"/>
          <w:szCs w:val="28"/>
          <w:lang w:val="uk-UA"/>
        </w:rPr>
        <w:t>фасилітатора</w:t>
      </w:r>
      <w:proofErr w:type="spellEnd"/>
      <w:r w:rsidRPr="0098132E">
        <w:rPr>
          <w:rFonts w:ascii="Times New Roman" w:hAnsi="Times New Roman"/>
          <w:sz w:val="28"/>
          <w:szCs w:val="28"/>
          <w:lang w:val="uk-UA"/>
        </w:rPr>
        <w:t xml:space="preserve"> в організації діяльності.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>Взаємодія з батьками та громадою: партнерство, інформаційний супровід, участь у спільних проектах.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8132E">
        <w:rPr>
          <w:rFonts w:ascii="Times New Roman" w:hAnsi="Times New Roman"/>
          <w:i/>
          <w:sz w:val="28"/>
          <w:szCs w:val="28"/>
          <w:lang w:val="uk-UA"/>
        </w:rPr>
        <w:t>Матеріальне середовище</w:t>
      </w:r>
      <w:r w:rsidR="0098132E" w:rsidRPr="0098132E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98132E">
        <w:rPr>
          <w:rFonts w:ascii="Times New Roman" w:hAnsi="Times New Roman"/>
          <w:sz w:val="28"/>
          <w:szCs w:val="28"/>
          <w:lang w:val="uk-UA"/>
        </w:rPr>
        <w:t>Навчально-методичні засоби: дидактичні матеріали, іграшки, книги, сенсорні та творчі набори.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 xml:space="preserve">Технологічні ресурси: цифрові засоби навчання, інтерактивні панелі, планшети, мультимедійні </w:t>
      </w:r>
      <w:r w:rsidRPr="0098132E">
        <w:rPr>
          <w:rFonts w:ascii="Times New Roman" w:hAnsi="Times New Roman"/>
          <w:sz w:val="28"/>
          <w:szCs w:val="28"/>
          <w:lang w:val="uk-UA"/>
        </w:rPr>
        <w:lastRenderedPageBreak/>
        <w:t>матеріали.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 xml:space="preserve">Організація та доступність матеріалів: наочне розташування, легкість у використанні, </w:t>
      </w:r>
      <w:proofErr w:type="spellStart"/>
      <w:r w:rsidRPr="0098132E">
        <w:rPr>
          <w:rFonts w:ascii="Times New Roman" w:hAnsi="Times New Roman"/>
          <w:sz w:val="28"/>
          <w:szCs w:val="28"/>
          <w:lang w:val="uk-UA"/>
        </w:rPr>
        <w:t>оновлюваність</w:t>
      </w:r>
      <w:proofErr w:type="spellEnd"/>
      <w:r w:rsidRPr="0098132E">
        <w:rPr>
          <w:rFonts w:ascii="Times New Roman" w:hAnsi="Times New Roman"/>
          <w:sz w:val="28"/>
          <w:szCs w:val="28"/>
          <w:lang w:val="uk-UA"/>
        </w:rPr>
        <w:t>.</w:t>
      </w:r>
    </w:p>
    <w:p w:rsidR="006651B7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sz w:val="28"/>
          <w:szCs w:val="28"/>
          <w:lang w:val="uk-UA"/>
        </w:rPr>
        <w:t>4</w:t>
      </w:r>
      <w:r w:rsidRPr="0098132E">
        <w:rPr>
          <w:rFonts w:ascii="Times New Roman" w:hAnsi="Times New Roman"/>
          <w:i/>
          <w:sz w:val="28"/>
          <w:szCs w:val="28"/>
          <w:lang w:val="uk-UA"/>
        </w:rPr>
        <w:t>. Психоемоційне середовище</w:t>
      </w:r>
      <w:r w:rsidR="0098132E" w:rsidRPr="0098132E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98132E">
        <w:rPr>
          <w:rFonts w:ascii="Times New Roman" w:hAnsi="Times New Roman"/>
          <w:sz w:val="28"/>
          <w:szCs w:val="28"/>
          <w:lang w:val="uk-UA"/>
        </w:rPr>
        <w:t>Атмосфера взаємоповаги та підтримки: розвиток емоційного інтелекту, впевненості у власних здібностях.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>Мотиваційна складова: стимули до творчості, досліджень, самостійної діяльності.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>Індивідуальний підхід: врахування потреб кожної дитини, підтримка дітей з ООП.</w:t>
      </w:r>
    </w:p>
    <w:p w:rsidR="0098132E" w:rsidRPr="0098132E" w:rsidRDefault="006651B7" w:rsidP="0098132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8132E">
        <w:rPr>
          <w:rFonts w:ascii="Times New Roman" w:hAnsi="Times New Roman"/>
          <w:i/>
          <w:sz w:val="28"/>
          <w:szCs w:val="28"/>
          <w:lang w:val="uk-UA"/>
        </w:rPr>
        <w:t>5. Інформаційне та цифрове середовище</w:t>
      </w:r>
      <w:r w:rsidR="0098132E" w:rsidRPr="0098132E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98132E">
        <w:rPr>
          <w:rFonts w:ascii="Times New Roman" w:hAnsi="Times New Roman"/>
          <w:sz w:val="28"/>
          <w:szCs w:val="28"/>
          <w:lang w:val="uk-UA"/>
        </w:rPr>
        <w:t>Доступ до інформаційних ресурсів: книги, мультимедійні матеріали, освітні платформи.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32E">
        <w:rPr>
          <w:rFonts w:ascii="Times New Roman" w:hAnsi="Times New Roman"/>
          <w:sz w:val="28"/>
          <w:szCs w:val="28"/>
          <w:lang w:val="uk-UA"/>
        </w:rPr>
        <w:t xml:space="preserve">Цифрові інструменти для педагогів та батьків: цифрові щоденники, </w:t>
      </w:r>
      <w:proofErr w:type="spellStart"/>
      <w:r w:rsidRPr="0098132E">
        <w:rPr>
          <w:rFonts w:ascii="Times New Roman" w:hAnsi="Times New Roman"/>
          <w:sz w:val="28"/>
          <w:szCs w:val="28"/>
          <w:lang w:val="uk-UA"/>
        </w:rPr>
        <w:t>онлайн-консультації</w:t>
      </w:r>
      <w:proofErr w:type="spellEnd"/>
      <w:r w:rsidRPr="0098132E">
        <w:rPr>
          <w:rFonts w:ascii="Times New Roman" w:hAnsi="Times New Roman"/>
          <w:sz w:val="28"/>
          <w:szCs w:val="28"/>
          <w:lang w:val="uk-UA"/>
        </w:rPr>
        <w:t>, платформи для дистанційного навчання.</w:t>
      </w:r>
      <w:r w:rsidR="0098132E" w:rsidRPr="009813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8132E">
        <w:rPr>
          <w:rFonts w:ascii="Times New Roman" w:hAnsi="Times New Roman"/>
          <w:sz w:val="28"/>
          <w:szCs w:val="28"/>
          <w:lang w:val="uk-UA"/>
        </w:rPr>
        <w:t>Інтерактивність</w:t>
      </w:r>
      <w:proofErr w:type="spellEnd"/>
      <w:r w:rsidRPr="0098132E">
        <w:rPr>
          <w:rFonts w:ascii="Times New Roman" w:hAnsi="Times New Roman"/>
          <w:sz w:val="28"/>
          <w:szCs w:val="28"/>
          <w:lang w:val="uk-UA"/>
        </w:rPr>
        <w:t xml:space="preserve"> та візуальна привабливість: забезпечення </w:t>
      </w:r>
      <w:proofErr w:type="spellStart"/>
      <w:r w:rsidRPr="0098132E">
        <w:rPr>
          <w:rFonts w:ascii="Times New Roman" w:hAnsi="Times New Roman"/>
          <w:sz w:val="28"/>
          <w:szCs w:val="28"/>
          <w:lang w:val="uk-UA"/>
        </w:rPr>
        <w:t>залученості</w:t>
      </w:r>
      <w:proofErr w:type="spellEnd"/>
      <w:r w:rsidRPr="0098132E">
        <w:rPr>
          <w:rFonts w:ascii="Times New Roman" w:hAnsi="Times New Roman"/>
          <w:sz w:val="28"/>
          <w:szCs w:val="28"/>
          <w:lang w:val="uk-UA"/>
        </w:rPr>
        <w:t xml:space="preserve"> дітей у процес навчання через інтерактивні засоби.</w:t>
      </w:r>
    </w:p>
    <w:p w:rsidR="006651B7" w:rsidRPr="0098132E" w:rsidRDefault="0098132E" w:rsidP="0098132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орівняльна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таблиця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структурних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компонентів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освітнього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середовища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ЗДО для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різних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вікових</w:t>
      </w:r>
      <w:proofErr w:type="spellEnd"/>
      <w:r w:rsidRPr="0098132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8132E">
        <w:rPr>
          <w:rFonts w:ascii="Times New Roman" w:hAnsi="Times New Roman"/>
          <w:b/>
          <w:sz w:val="28"/>
          <w:szCs w:val="28"/>
          <w:lang w:val="ru-RU"/>
        </w:rPr>
        <w:t>груп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2305"/>
        <w:gridCol w:w="2454"/>
        <w:gridCol w:w="2721"/>
      </w:tblGrid>
      <w:tr w:rsidR="0098132E" w:rsidRPr="0098132E" w:rsidTr="009813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Молодша група (2–3 р.)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Середня група (3–4 р.)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Старша група (5–6 р.)</w:t>
            </w:r>
          </w:p>
        </w:tc>
      </w:tr>
      <w:tr w:rsidR="0098132E" w:rsidRPr="0098132E" w:rsidTr="0098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Фізичне середовище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Маленькі столи та стільці, м’які килими, ігрові конструкції, безпечні матеріали для руху та маніпуляцій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Зони для сюжетно-рольових ігор, конструктори, сенсорні панелі, невеликі творчі столики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Зони для дослідницьких та проектних ігор, куточки професій, більш складні конструктори, інтерактивні панелі</w:t>
            </w:r>
          </w:p>
        </w:tc>
      </w:tr>
      <w:tr w:rsidR="0098132E" w:rsidRPr="0098132E" w:rsidTr="0098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Соціальне середовище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Розвиток базових соціальних навичок: спільні ігри, чергування, перші взаємодії з однолітками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Формування вміння співпрацювати, вирішувати конфлікти, розвиток дружніх відносин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Розвиток командної роботи, участь у групових проектах, підтримка взаємодії та співпраці</w:t>
            </w:r>
          </w:p>
        </w:tc>
      </w:tr>
      <w:tr w:rsidR="0098132E" w:rsidRPr="0098132E" w:rsidTr="0098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Матеріальне середовище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Іграшки для розвитку моторики, прості дидактичні матеріали, яскраві книжки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Конструктори, набори для творчості та досліджень, сенсорні матеріали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Наукові набори, творчі матеріали, інтерактивні дидактичні засоби, цифрові ресурси</w:t>
            </w:r>
          </w:p>
        </w:tc>
      </w:tr>
      <w:tr w:rsidR="0098132E" w:rsidRPr="0098132E" w:rsidTr="0098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Психоемоційне середовище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Підтримка емоційної стабільності, розвиток почуття безпеки, формування базових емоцій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Заохочення самостійності, розвиток </w:t>
            </w:r>
            <w:proofErr w:type="spellStart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емпатії</w:t>
            </w:r>
            <w:proofErr w:type="spellEnd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 та взаємоповаги, мотивація до навчальної діяльності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Стимулювання критичного мислення, самовираження, підтримка емоційної зрілості та співпраці</w:t>
            </w:r>
          </w:p>
        </w:tc>
      </w:tr>
      <w:tr w:rsidR="0098132E" w:rsidRPr="0098132E" w:rsidTr="0098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Інформаційне та цифрове середовище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Прості цифрові ігри та </w:t>
            </w:r>
            <w:proofErr w:type="spellStart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мультимедіа</w:t>
            </w:r>
            <w:proofErr w:type="spellEnd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, відео для розвитку </w:t>
            </w:r>
            <w:proofErr w:type="spellStart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сенсорики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Інтерактивні панелі, освітні відео, прості платформи для батьків</w:t>
            </w:r>
          </w:p>
        </w:tc>
        <w:tc>
          <w:tcPr>
            <w:tcW w:w="0" w:type="auto"/>
            <w:vAlign w:val="center"/>
            <w:hideMark/>
          </w:tcPr>
          <w:p w:rsidR="0098132E" w:rsidRPr="0098132E" w:rsidRDefault="0098132E" w:rsidP="0098132E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Цифрові навчальні платформи, інтерактивні завдання, </w:t>
            </w:r>
            <w:proofErr w:type="spellStart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>онлайн-комунікація</w:t>
            </w:r>
            <w:proofErr w:type="spellEnd"/>
            <w:r w:rsidRPr="0098132E">
              <w:rPr>
                <w:rFonts w:ascii="Times New Roman" w:eastAsia="Times New Roman" w:hAnsi="Times New Roman"/>
                <w:lang w:val="uk-UA" w:eastAsia="uk-UA" w:bidi="ar-SA"/>
              </w:rPr>
              <w:t xml:space="preserve"> з батьками, цифрові щоденники розвитку</w:t>
            </w:r>
          </w:p>
        </w:tc>
      </w:tr>
    </w:tbl>
    <w:p w:rsidR="0098132E" w:rsidRDefault="0098132E" w:rsidP="006651B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651B7" w:rsidRDefault="006651B7" w:rsidP="006651B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51B7">
        <w:rPr>
          <w:rFonts w:ascii="Times New Roman" w:hAnsi="Times New Roman"/>
          <w:b/>
          <w:sz w:val="28"/>
          <w:szCs w:val="28"/>
          <w:lang w:val="uk-UA"/>
        </w:rPr>
        <w:t>Нормативно-правові документи, що регламентують о</w:t>
      </w:r>
      <w:r w:rsidR="0098132E">
        <w:rPr>
          <w:rFonts w:ascii="Times New Roman" w:hAnsi="Times New Roman"/>
          <w:b/>
          <w:sz w:val="28"/>
          <w:szCs w:val="28"/>
          <w:lang w:val="uk-UA"/>
        </w:rPr>
        <w:t>рганізацію освітнього простору</w:t>
      </w:r>
    </w:p>
    <w:p w:rsidR="0098132E" w:rsidRPr="005D646A" w:rsidRDefault="0098132E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i/>
          <w:sz w:val="28"/>
          <w:szCs w:val="28"/>
          <w:lang w:val="uk-UA"/>
        </w:rPr>
        <w:t>Законодавча база України:</w:t>
      </w:r>
      <w:r w:rsidRPr="005D646A">
        <w:rPr>
          <w:rFonts w:ascii="Times New Roman" w:hAnsi="Times New Roman"/>
          <w:sz w:val="28"/>
          <w:szCs w:val="28"/>
          <w:lang w:val="uk-UA"/>
        </w:rPr>
        <w:t xml:space="preserve"> Закон України «Про освіту» (2017 р.) визначає права дитини на освіту, рівність доступу, стандарти освітніх послуг; встановлює обов’язки закладів освіти щодо безпечного та якісного освітнього середовища. Закон України «Про дошкільну освіту» (2019 р.) регламентує організацію освітнього процесу в ЗДО; передбачає вимоги до приміщень, матеріально-технічного забезпечення, безпечного середовища та </w:t>
      </w:r>
      <w:proofErr w:type="spellStart"/>
      <w:r w:rsidRPr="005D646A">
        <w:rPr>
          <w:rFonts w:ascii="Times New Roman" w:hAnsi="Times New Roman"/>
          <w:sz w:val="28"/>
          <w:szCs w:val="28"/>
          <w:lang w:val="uk-UA"/>
        </w:rPr>
        <w:t>інклюзивності</w:t>
      </w:r>
      <w:proofErr w:type="spellEnd"/>
      <w:r w:rsidRPr="005D646A">
        <w:rPr>
          <w:rFonts w:ascii="Times New Roman" w:hAnsi="Times New Roman"/>
          <w:sz w:val="28"/>
          <w:szCs w:val="28"/>
          <w:lang w:val="uk-UA"/>
        </w:rPr>
        <w:t>.</w:t>
      </w:r>
    </w:p>
    <w:p w:rsidR="0098132E" w:rsidRPr="005D646A" w:rsidRDefault="0098132E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i/>
          <w:sz w:val="28"/>
          <w:szCs w:val="28"/>
          <w:lang w:val="uk-UA"/>
        </w:rPr>
        <w:t xml:space="preserve">Державні стандарти та нормативні документи. </w:t>
      </w:r>
      <w:r w:rsidRPr="005D646A">
        <w:rPr>
          <w:rFonts w:ascii="Times New Roman" w:hAnsi="Times New Roman"/>
          <w:sz w:val="28"/>
          <w:szCs w:val="28"/>
          <w:lang w:val="uk-UA"/>
        </w:rPr>
        <w:t>Державний стандарт дошкільної освіти визначає очікувані результати розвитку дітей, умови та структуру освітнього середовища; передбачає інтегровану організацію діяльності, зони розвитку, матеріально-технічне оснащення. Методичні рекомендації МОН розробляються для конкретних напрямів: організація ігрових, навчальних, сенсорних, творчих зон; містять приклади планування освітнього простору та його зонування.</w:t>
      </w:r>
    </w:p>
    <w:p w:rsidR="0098132E" w:rsidRPr="005D646A" w:rsidRDefault="0098132E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i/>
          <w:sz w:val="28"/>
          <w:szCs w:val="28"/>
          <w:lang w:val="uk-UA"/>
        </w:rPr>
        <w:t xml:space="preserve">Внутрішні нормативні документи закладу. </w:t>
      </w:r>
      <w:r w:rsidRPr="005D646A">
        <w:rPr>
          <w:rFonts w:ascii="Times New Roman" w:hAnsi="Times New Roman"/>
          <w:sz w:val="28"/>
          <w:szCs w:val="28"/>
          <w:lang w:val="uk-UA"/>
        </w:rPr>
        <w:t>Положення про заклад дошкільної освіти регламентує правила організації освітнього процесу, режим дня, порядок взаємодії з батьками. Локальні інструкції та регламенти забезпечують безпеку дітей, доступність зон, використання матеріалів та технічних засобів.</w:t>
      </w:r>
    </w:p>
    <w:p w:rsidR="0098132E" w:rsidRPr="005D646A" w:rsidRDefault="0098132E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i/>
          <w:sz w:val="28"/>
          <w:szCs w:val="28"/>
          <w:lang w:val="uk-UA"/>
        </w:rPr>
        <w:t xml:space="preserve">Норми безпеки та інклюзії. </w:t>
      </w:r>
      <w:r w:rsidRPr="005D646A">
        <w:rPr>
          <w:rFonts w:ascii="Times New Roman" w:hAnsi="Times New Roman"/>
          <w:sz w:val="28"/>
          <w:szCs w:val="28"/>
          <w:lang w:val="uk-UA"/>
        </w:rPr>
        <w:t>Державні санітарні норми та правила (</w:t>
      </w:r>
      <w:proofErr w:type="spellStart"/>
      <w:r w:rsidRPr="005D646A">
        <w:rPr>
          <w:rFonts w:ascii="Times New Roman" w:hAnsi="Times New Roman"/>
          <w:sz w:val="28"/>
          <w:szCs w:val="28"/>
          <w:lang w:val="uk-UA"/>
        </w:rPr>
        <w:t>ДСанПіН</w:t>
      </w:r>
      <w:proofErr w:type="spellEnd"/>
      <w:r w:rsidRPr="005D646A">
        <w:rPr>
          <w:rFonts w:ascii="Times New Roman" w:hAnsi="Times New Roman"/>
          <w:sz w:val="28"/>
          <w:szCs w:val="28"/>
          <w:lang w:val="uk-UA"/>
        </w:rPr>
        <w:t>)</w:t>
      </w:r>
      <w:r w:rsidR="005D646A" w:rsidRPr="005D646A">
        <w:rPr>
          <w:rFonts w:ascii="Times New Roman" w:hAnsi="Times New Roman"/>
          <w:sz w:val="28"/>
          <w:szCs w:val="28"/>
          <w:lang w:val="uk-UA"/>
        </w:rPr>
        <w:t xml:space="preserve"> унормовують в</w:t>
      </w:r>
      <w:r w:rsidRPr="005D646A">
        <w:rPr>
          <w:rFonts w:ascii="Times New Roman" w:hAnsi="Times New Roman"/>
          <w:sz w:val="28"/>
          <w:szCs w:val="28"/>
          <w:lang w:val="uk-UA"/>
        </w:rPr>
        <w:t>имоги до приміщень, освітлення, меблів, ігрових та спортивних зон</w:t>
      </w:r>
      <w:r w:rsidR="005D646A" w:rsidRPr="005D646A">
        <w:rPr>
          <w:rFonts w:ascii="Times New Roman" w:hAnsi="Times New Roman"/>
          <w:sz w:val="28"/>
          <w:szCs w:val="28"/>
          <w:lang w:val="uk-UA"/>
        </w:rPr>
        <w:t>; о</w:t>
      </w:r>
      <w:r w:rsidRPr="005D646A">
        <w:rPr>
          <w:rFonts w:ascii="Times New Roman" w:hAnsi="Times New Roman"/>
          <w:sz w:val="28"/>
          <w:szCs w:val="28"/>
          <w:lang w:val="uk-UA"/>
        </w:rPr>
        <w:t>бов’язкове дотримання санітарних та гігієнічних норм у ЗДО.</w:t>
      </w:r>
    </w:p>
    <w:p w:rsidR="0098132E" w:rsidRDefault="0098132E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sz w:val="28"/>
          <w:szCs w:val="28"/>
          <w:lang w:val="uk-UA"/>
        </w:rPr>
        <w:t>Вимоги інклюзії</w:t>
      </w:r>
      <w:r w:rsidR="005D646A" w:rsidRPr="005D646A">
        <w:rPr>
          <w:rFonts w:ascii="Times New Roman" w:hAnsi="Times New Roman"/>
          <w:sz w:val="28"/>
          <w:szCs w:val="28"/>
          <w:lang w:val="uk-UA"/>
        </w:rPr>
        <w:t xml:space="preserve"> унормовують вимоги д</w:t>
      </w:r>
      <w:r w:rsidRPr="005D646A">
        <w:rPr>
          <w:rFonts w:ascii="Times New Roman" w:hAnsi="Times New Roman"/>
          <w:sz w:val="28"/>
          <w:szCs w:val="28"/>
          <w:lang w:val="uk-UA"/>
        </w:rPr>
        <w:t>оступн</w:t>
      </w:r>
      <w:r w:rsidR="005D646A" w:rsidRPr="005D646A">
        <w:rPr>
          <w:rFonts w:ascii="Times New Roman" w:hAnsi="Times New Roman"/>
          <w:sz w:val="28"/>
          <w:szCs w:val="28"/>
          <w:lang w:val="uk-UA"/>
        </w:rPr>
        <w:t>ості</w:t>
      </w:r>
      <w:r w:rsidRPr="005D646A">
        <w:rPr>
          <w:rFonts w:ascii="Times New Roman" w:hAnsi="Times New Roman"/>
          <w:sz w:val="28"/>
          <w:szCs w:val="28"/>
          <w:lang w:val="uk-UA"/>
        </w:rPr>
        <w:t xml:space="preserve"> освітнього середовища для дітей з ООП</w:t>
      </w:r>
      <w:r w:rsidR="005D646A" w:rsidRPr="005D646A">
        <w:rPr>
          <w:rFonts w:ascii="Times New Roman" w:hAnsi="Times New Roman"/>
          <w:sz w:val="28"/>
          <w:szCs w:val="28"/>
          <w:lang w:val="uk-UA"/>
        </w:rPr>
        <w:t>; з</w:t>
      </w:r>
      <w:r w:rsidRPr="005D646A">
        <w:rPr>
          <w:rFonts w:ascii="Times New Roman" w:hAnsi="Times New Roman"/>
          <w:sz w:val="28"/>
          <w:szCs w:val="28"/>
          <w:lang w:val="uk-UA"/>
        </w:rPr>
        <w:t>абезпечення рівного доступу, адаптованих навчальних та ігрових матеріалів.</w:t>
      </w:r>
    </w:p>
    <w:p w:rsidR="0025467A" w:rsidRDefault="0025467A" w:rsidP="005F43E7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637758" cy="2424223"/>
            <wp:effectExtent l="19050" t="0" r="792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91" cy="243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6A" w:rsidRPr="005D646A" w:rsidRDefault="005D646A" w:rsidP="005D646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орівняльна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таблиця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ключових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нормативно-правових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документів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щодо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організації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D646A">
        <w:rPr>
          <w:rFonts w:ascii="Times New Roman" w:hAnsi="Times New Roman"/>
          <w:b/>
          <w:sz w:val="28"/>
          <w:szCs w:val="28"/>
          <w:lang w:val="ru-RU"/>
        </w:rPr>
        <w:t>освітнього</w:t>
      </w:r>
      <w:proofErr w:type="spellEnd"/>
      <w:r w:rsidRPr="005D646A">
        <w:rPr>
          <w:rFonts w:ascii="Times New Roman" w:hAnsi="Times New Roman"/>
          <w:b/>
          <w:sz w:val="28"/>
          <w:szCs w:val="28"/>
          <w:lang w:val="ru-RU"/>
        </w:rPr>
        <w:t xml:space="preserve"> простору в ЗДО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9"/>
        <w:gridCol w:w="3886"/>
        <w:gridCol w:w="3220"/>
      </w:tblGrid>
      <w:tr w:rsidR="005D646A" w:rsidRPr="005D646A" w:rsidTr="005D64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Документ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Основні положення, що регламентують освітній простір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Практичне застосування в ЗДО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Закон України «Про освіту» (2017 р.)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Право дитини на якісну освіту, рівний доступ; безпечне та комфортне освітнє середовище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Забезпечення умов для всіх дітей, планування приміщень та освітніх зон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Закон України «Про дошкільну освіту» (2019 р.)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Визначає структуру та організацію ЗДО; вимоги до приміщень, матеріально-технічного забезпечення; інклюзія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Організація зон розвитку, відповідність стандартам, адаптація під дітей з ООП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Державний стандарт дошкільної освіти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Очікувані результати розвитку дітей; інтегрована діяльність; зонування освітнього простору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Планування ігрових, навчальних, сенсорних та творчих зон, забезпечення матеріалами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Методичні рекомендації МОН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Приклади організації освітніх зон; планування активностей; приклади дидактичних матеріалів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Використання готових прикладів, адаптація для конкретної групи або умов ЗДО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Положення про заклад дошкільної освіти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Внутрішні правила організації освітнього процесу; режим дня; взаємодія з батьками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Створення локальних правил, організація дня, співпраця з батьками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proofErr w:type="spellStart"/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ДСанПіН</w:t>
            </w:r>
            <w:proofErr w:type="spellEnd"/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 xml:space="preserve"> (санітарні норми та правила)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Вимоги до приміщень, освітлення, меблів, ігрових та спортивних зон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Дотримання санітарних норм, безпечні меблі, планування активностей та ігор</w:t>
            </w:r>
          </w:p>
        </w:tc>
      </w:tr>
      <w:tr w:rsidR="005D646A" w:rsidRPr="005D646A" w:rsidTr="005D64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b/>
                <w:bCs/>
                <w:lang w:val="uk-UA" w:eastAsia="uk-UA" w:bidi="ar-SA"/>
              </w:rPr>
              <w:t>Вимоги інклюзії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Доступність для дітей з ООП; адаптовані навчальні та ігрові матеріали</w:t>
            </w:r>
          </w:p>
        </w:tc>
        <w:tc>
          <w:tcPr>
            <w:tcW w:w="0" w:type="auto"/>
            <w:vAlign w:val="center"/>
            <w:hideMark/>
          </w:tcPr>
          <w:p w:rsidR="005D646A" w:rsidRPr="005D646A" w:rsidRDefault="005D646A" w:rsidP="005D646A">
            <w:pPr>
              <w:rPr>
                <w:rFonts w:ascii="Times New Roman" w:eastAsia="Times New Roman" w:hAnsi="Times New Roman"/>
                <w:lang w:val="uk-UA" w:eastAsia="uk-UA" w:bidi="ar-SA"/>
              </w:rPr>
            </w:pPr>
            <w:r w:rsidRPr="005D646A">
              <w:rPr>
                <w:rFonts w:ascii="Times New Roman" w:eastAsia="Times New Roman" w:hAnsi="Times New Roman"/>
                <w:lang w:val="uk-UA" w:eastAsia="uk-UA" w:bidi="ar-SA"/>
              </w:rPr>
              <w:t>Адаптація зон, дидактичних матеріалів, забезпечення рівних можливостей для всіх дітей</w:t>
            </w:r>
          </w:p>
        </w:tc>
      </w:tr>
    </w:tbl>
    <w:p w:rsidR="005D646A" w:rsidRDefault="005D646A" w:rsidP="005D64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646A">
        <w:rPr>
          <w:rFonts w:ascii="Times New Roman" w:hAnsi="Times New Roman"/>
          <w:sz w:val="28"/>
          <w:szCs w:val="28"/>
          <w:lang w:val="uk-UA"/>
        </w:rPr>
        <w:t>Використання нормативних документів забезпечує: безпеку та комфорт дітей; відповідність освітнього середовища стандартам розвитку та навчання; рівні умови для всіх дітей, включно з тими, що мають особливі освітні потреби; раціональне зонування, оснащення приміщень та планування активностей.</w:t>
      </w:r>
    </w:p>
    <w:p w:rsidR="006651B7" w:rsidRPr="006651B7" w:rsidRDefault="006651B7" w:rsidP="006651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651B7" w:rsidRPr="006651B7" w:rsidSect="00F1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5A6"/>
    <w:multiLevelType w:val="multilevel"/>
    <w:tmpl w:val="8E1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4E0"/>
    <w:multiLevelType w:val="multilevel"/>
    <w:tmpl w:val="7A0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E5DA3"/>
    <w:multiLevelType w:val="multilevel"/>
    <w:tmpl w:val="1DE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4129E"/>
    <w:multiLevelType w:val="multilevel"/>
    <w:tmpl w:val="FAB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B4E7F"/>
    <w:multiLevelType w:val="multilevel"/>
    <w:tmpl w:val="6A8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47365"/>
    <w:multiLevelType w:val="multilevel"/>
    <w:tmpl w:val="860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E671F"/>
    <w:multiLevelType w:val="multilevel"/>
    <w:tmpl w:val="BA4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57D16"/>
    <w:multiLevelType w:val="multilevel"/>
    <w:tmpl w:val="0108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F6E0A"/>
    <w:multiLevelType w:val="multilevel"/>
    <w:tmpl w:val="187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575F3"/>
    <w:multiLevelType w:val="multilevel"/>
    <w:tmpl w:val="709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651B7"/>
    <w:rsid w:val="001E29FE"/>
    <w:rsid w:val="0025467A"/>
    <w:rsid w:val="0044647D"/>
    <w:rsid w:val="004C4CB0"/>
    <w:rsid w:val="005D646A"/>
    <w:rsid w:val="005F43E7"/>
    <w:rsid w:val="006651B7"/>
    <w:rsid w:val="0098132E"/>
    <w:rsid w:val="00BE7929"/>
    <w:rsid w:val="00D65A47"/>
    <w:rsid w:val="00F1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51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51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B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B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B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B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B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1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1">
    <w:name w:val="Заголовок 1 Знак1"/>
    <w:basedOn w:val="a0"/>
    <w:uiPriority w:val="9"/>
    <w:rsid w:val="004C4CB0"/>
    <w:rPr>
      <w:rFonts w:asciiTheme="majorHAnsi" w:eastAsiaTheme="majorEastAsia" w:hAnsiTheme="majorHAnsi" w:cstheme="majorBidi"/>
      <w:smallCaps/>
      <w:color w:val="2F5496" w:themeColor="accent1" w:themeShade="BF"/>
      <w:kern w:val="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651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basedOn w:val="a0"/>
    <w:uiPriority w:val="20"/>
    <w:qFormat/>
    <w:rsid w:val="006651B7"/>
    <w:rPr>
      <w:rFonts w:asciiTheme="minorHAnsi" w:hAnsiTheme="minorHAnsi"/>
      <w:b/>
      <w:i/>
      <w:iCs/>
    </w:rPr>
  </w:style>
  <w:style w:type="paragraph" w:styleId="a4">
    <w:name w:val="List Paragraph"/>
    <w:basedOn w:val="a"/>
    <w:uiPriority w:val="34"/>
    <w:qFormat/>
    <w:rsid w:val="006651B7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6651B7"/>
    <w:pPr>
      <w:outlineLvl w:val="9"/>
    </w:pPr>
  </w:style>
  <w:style w:type="paragraph" w:customStyle="1" w:styleId="110">
    <w:name w:val="Заголовок 11"/>
    <w:basedOn w:val="a"/>
    <w:next w:val="a"/>
    <w:link w:val="10"/>
    <w:rsid w:val="004C4CB0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semiHidden/>
    <w:unhideWhenUsed/>
    <w:rsid w:val="004C4CB0"/>
    <w:pPr>
      <w:keepNext/>
      <w:keepLines/>
      <w:widowControl w:val="0"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eastAsia="zh-CN"/>
    </w:rPr>
  </w:style>
  <w:style w:type="character" w:customStyle="1" w:styleId="sr-only">
    <w:name w:val="sr-only"/>
    <w:basedOn w:val="a0"/>
    <w:rsid w:val="006651B7"/>
  </w:style>
  <w:style w:type="paragraph" w:styleId="a6">
    <w:name w:val="Normal (Web)"/>
    <w:basedOn w:val="a"/>
    <w:uiPriority w:val="99"/>
    <w:semiHidden/>
    <w:unhideWhenUsed/>
    <w:rsid w:val="006651B7"/>
    <w:pPr>
      <w:spacing w:before="100" w:beforeAutospacing="1" w:after="100" w:afterAutospacing="1"/>
    </w:pPr>
    <w:rPr>
      <w:rFonts w:eastAsia="Times New Roman"/>
      <w:smallCaps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651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51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1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51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51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51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51B7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6651B7"/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6651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6651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651B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6651B7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6651B7"/>
    <w:rPr>
      <w:b/>
      <w:bCs/>
    </w:rPr>
  </w:style>
  <w:style w:type="paragraph" w:styleId="ad">
    <w:name w:val="No Spacing"/>
    <w:basedOn w:val="a"/>
    <w:uiPriority w:val="1"/>
    <w:qFormat/>
    <w:rsid w:val="006651B7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6651B7"/>
    <w:rPr>
      <w:i/>
    </w:rPr>
  </w:style>
  <w:style w:type="character" w:customStyle="1" w:styleId="23">
    <w:name w:val="Цитата 2 Знак"/>
    <w:basedOn w:val="a0"/>
    <w:link w:val="22"/>
    <w:uiPriority w:val="29"/>
    <w:rsid w:val="006651B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651B7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651B7"/>
    <w:rPr>
      <w:b/>
      <w:i/>
      <w:sz w:val="24"/>
    </w:rPr>
  </w:style>
  <w:style w:type="character" w:styleId="af0">
    <w:name w:val="Subtle Emphasis"/>
    <w:uiPriority w:val="19"/>
    <w:qFormat/>
    <w:rsid w:val="006651B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651B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651B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651B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651B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5467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54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547">
          <w:marLeft w:val="251"/>
          <w:marRight w:val="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12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2025-10-21T08:14:00Z</dcterms:created>
  <dcterms:modified xsi:type="dcterms:W3CDTF">2025-10-21T08:43:00Z</dcterms:modified>
</cp:coreProperties>
</file>