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626" w:rsidRPr="009F3626" w:rsidRDefault="009F3626" w:rsidP="009F3626">
      <w:pPr>
        <w:shd w:val="clear" w:color="auto" w:fill="FFFFFF"/>
        <w:spacing w:after="0" w:line="390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</w:pPr>
      <w:r w:rsidRPr="009F36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Одразу скажемо, для цілей визначення об’єкта оподаткування податком на прибуток орієнтуватися необхідно </w:t>
      </w:r>
      <w:r w:rsidRPr="009F3626">
        <w:rPr>
          <w:rFonts w:ascii="Helvetica" w:eastAsia="Times New Roman" w:hAnsi="Helvetica" w:cs="Helvetica"/>
          <w:b/>
          <w:bCs/>
          <w:color w:val="333333"/>
          <w:sz w:val="24"/>
          <w:szCs w:val="24"/>
          <w:bdr w:val="none" w:sz="0" w:space="0" w:color="auto" w:frame="1"/>
          <w:lang w:eastAsia="uk-UA"/>
        </w:rPr>
        <w:t>цілком на бухгалтерський облік</w:t>
      </w:r>
      <w:r w:rsidRPr="009F36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. Оскільки, в загальному випадку, жодних податкових різниць щодо «тендерних» витрат </w:t>
      </w:r>
      <w:r w:rsidRPr="009F3626">
        <w:rPr>
          <w:rFonts w:ascii="Helvetica" w:eastAsia="Times New Roman" w:hAnsi="Helvetica" w:cs="Helvetica"/>
          <w:i/>
          <w:iCs/>
          <w:color w:val="333333"/>
          <w:sz w:val="24"/>
          <w:szCs w:val="24"/>
          <w:bdr w:val="none" w:sz="0" w:space="0" w:color="auto" w:frame="1"/>
          <w:lang w:eastAsia="uk-UA"/>
        </w:rPr>
        <w:t>ПКУ</w:t>
      </w:r>
      <w:r w:rsidRPr="009F36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 не передбачає. Лише у надзвичайному випадку, коли учасник не виконує своїх зобов’язань, може «спрацювати» «штрафна» різниця, але про неї ми скажемо пізніше.</w:t>
      </w:r>
    </w:p>
    <w:p w:rsidR="009F3626" w:rsidRPr="009F3626" w:rsidRDefault="009F3626" w:rsidP="009F3626">
      <w:pPr>
        <w:shd w:val="clear" w:color="auto" w:fill="FFFFFF"/>
        <w:spacing w:before="150" w:after="0" w:line="390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</w:pPr>
      <w:r w:rsidRPr="009F36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 xml:space="preserve">А тепер, перш ніж почати опис </w:t>
      </w:r>
      <w:proofErr w:type="spellStart"/>
      <w:r w:rsidRPr="009F36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бухобліку</w:t>
      </w:r>
      <w:proofErr w:type="spellEnd"/>
      <w:r w:rsidRPr="009F36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, давайте розберемося з тим, з якими витратами учаснику тендера доведеться зіткнутися.</w:t>
      </w:r>
    </w:p>
    <w:p w:rsidR="009F3626" w:rsidRPr="009F3626" w:rsidRDefault="009F3626" w:rsidP="009F3626">
      <w:pPr>
        <w:shd w:val="clear" w:color="auto" w:fill="FFFFFF"/>
        <w:spacing w:after="0" w:line="420" w:lineRule="atLeast"/>
        <w:textAlignment w:val="baseline"/>
        <w:outlineLvl w:val="1"/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uk-UA"/>
        </w:rPr>
      </w:pPr>
      <w:r w:rsidRPr="009F3626"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uk-UA"/>
        </w:rPr>
        <w:t>Які бувають «тендерні» платежі?</w:t>
      </w:r>
    </w:p>
    <w:p w:rsidR="009F3626" w:rsidRPr="009F3626" w:rsidRDefault="009F3626" w:rsidP="009F3626">
      <w:pPr>
        <w:shd w:val="clear" w:color="auto" w:fill="FFFFFF"/>
        <w:spacing w:before="150" w:after="0" w:line="390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</w:pPr>
      <w:r w:rsidRPr="009F36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Можна означити дві статті грошових витрат, з якими стикається учасник тендера:</w:t>
      </w:r>
    </w:p>
    <w:p w:rsidR="009F3626" w:rsidRPr="009F3626" w:rsidRDefault="009F3626" w:rsidP="009F3626">
      <w:pPr>
        <w:shd w:val="clear" w:color="auto" w:fill="FFFFFF"/>
        <w:spacing w:after="0" w:line="390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</w:pPr>
      <w:r w:rsidRPr="009F3626">
        <w:rPr>
          <w:rFonts w:ascii="Helvetica" w:eastAsia="Times New Roman" w:hAnsi="Helvetica" w:cs="Helvetica"/>
          <w:b/>
          <w:bCs/>
          <w:color w:val="333333"/>
          <w:sz w:val="24"/>
          <w:szCs w:val="24"/>
          <w:bdr w:val="none" w:sz="0" w:space="0" w:color="auto" w:frame="1"/>
          <w:lang w:eastAsia="uk-UA"/>
        </w:rPr>
        <w:t>(1)</w:t>
      </w:r>
      <w:r w:rsidRPr="009F36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 плата за подання тендерної пропозиції (тарифи встановлено в </w:t>
      </w:r>
      <w:hyperlink r:id="rId5" w:tgtFrame="_blank" w:tooltip="п. 4 Порядку № 166" w:history="1">
        <w:r w:rsidRPr="009F3626">
          <w:rPr>
            <w:rFonts w:ascii="Helvetica" w:eastAsia="Times New Roman" w:hAnsi="Helvetica" w:cs="Helvetica"/>
            <w:color w:val="26539A"/>
            <w:sz w:val="24"/>
            <w:szCs w:val="24"/>
            <w:bdr w:val="none" w:sz="0" w:space="0" w:color="auto" w:frame="1"/>
            <w:lang w:eastAsia="uk-UA"/>
          </w:rPr>
          <w:t>п. 4 Порядку № 166</w:t>
        </w:r>
      </w:hyperlink>
      <w:r w:rsidRPr="009F36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*), оплата інших послуг авторизованого електронного майданчика та витрати на підготовку тендерної документації;</w:t>
      </w:r>
    </w:p>
    <w:p w:rsidR="009F3626" w:rsidRPr="009F3626" w:rsidRDefault="009F3626" w:rsidP="009F3626">
      <w:pPr>
        <w:shd w:val="clear" w:color="auto" w:fill="FFFFFF"/>
        <w:spacing w:after="0" w:line="390" w:lineRule="atLeast"/>
        <w:textAlignment w:val="baseline"/>
        <w:rPr>
          <w:rFonts w:ascii="Helvetica" w:eastAsia="Times New Roman" w:hAnsi="Helvetica" w:cs="Helvetica"/>
          <w:color w:val="333333"/>
          <w:lang w:eastAsia="uk-UA"/>
        </w:rPr>
      </w:pPr>
      <w:r w:rsidRPr="009F3626">
        <w:rPr>
          <w:rFonts w:ascii="Helvetica" w:eastAsia="Times New Roman" w:hAnsi="Helvetica" w:cs="Helvetica"/>
          <w:color w:val="333333"/>
          <w:bdr w:val="none" w:sz="0" w:space="0" w:color="auto" w:frame="1"/>
          <w:lang w:eastAsia="uk-UA"/>
        </w:rPr>
        <w:t xml:space="preserve">* Порядок функціонування електронної системи </w:t>
      </w:r>
      <w:proofErr w:type="spellStart"/>
      <w:r w:rsidRPr="009F3626">
        <w:rPr>
          <w:rFonts w:ascii="Helvetica" w:eastAsia="Times New Roman" w:hAnsi="Helvetica" w:cs="Helvetica"/>
          <w:color w:val="333333"/>
          <w:bdr w:val="none" w:sz="0" w:space="0" w:color="auto" w:frame="1"/>
          <w:lang w:eastAsia="uk-UA"/>
        </w:rPr>
        <w:t>закупівель</w:t>
      </w:r>
      <w:proofErr w:type="spellEnd"/>
      <w:r w:rsidRPr="009F3626">
        <w:rPr>
          <w:rFonts w:ascii="Helvetica" w:eastAsia="Times New Roman" w:hAnsi="Helvetica" w:cs="Helvetica"/>
          <w:color w:val="333333"/>
          <w:bdr w:val="none" w:sz="0" w:space="0" w:color="auto" w:frame="1"/>
          <w:lang w:eastAsia="uk-UA"/>
        </w:rPr>
        <w:t xml:space="preserve"> та проведення авторизації електронних майданчиків, затверджений </w:t>
      </w:r>
      <w:hyperlink r:id="rId6" w:tgtFrame="_blank" w:tooltip="постановою КМУ від 24.02.2016 р. № 166" w:history="1">
        <w:r w:rsidRPr="009F3626">
          <w:rPr>
            <w:rFonts w:ascii="Helvetica" w:eastAsia="Times New Roman" w:hAnsi="Helvetica" w:cs="Helvetica"/>
            <w:color w:val="26539A"/>
            <w:bdr w:val="none" w:sz="0" w:space="0" w:color="auto" w:frame="1"/>
            <w:lang w:eastAsia="uk-UA"/>
          </w:rPr>
          <w:t>постановою КМУ від 24.02.2016 р. № 166</w:t>
        </w:r>
      </w:hyperlink>
      <w:r w:rsidRPr="009F3626">
        <w:rPr>
          <w:rFonts w:ascii="Helvetica" w:eastAsia="Times New Roman" w:hAnsi="Helvetica" w:cs="Helvetica"/>
          <w:color w:val="333333"/>
          <w:lang w:eastAsia="uk-UA"/>
        </w:rPr>
        <w:t>.</w:t>
      </w:r>
    </w:p>
    <w:p w:rsidR="009F3626" w:rsidRPr="009F3626" w:rsidRDefault="009F3626" w:rsidP="009F3626">
      <w:pPr>
        <w:shd w:val="clear" w:color="auto" w:fill="FFFFFF"/>
        <w:spacing w:after="0" w:line="390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</w:pPr>
      <w:r w:rsidRPr="009F3626">
        <w:rPr>
          <w:rFonts w:ascii="Helvetica" w:eastAsia="Times New Roman" w:hAnsi="Helvetica" w:cs="Helvetica"/>
          <w:b/>
          <w:bCs/>
          <w:color w:val="333333"/>
          <w:sz w:val="24"/>
          <w:szCs w:val="24"/>
          <w:bdr w:val="none" w:sz="0" w:space="0" w:color="auto" w:frame="1"/>
          <w:lang w:eastAsia="uk-UA"/>
        </w:rPr>
        <w:t>(2)</w:t>
      </w:r>
      <w:r w:rsidRPr="009F36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 забезпечення тендерної пропозиції (</w:t>
      </w:r>
      <w:hyperlink r:id="rId7" w:tgtFrame="_blank" w:tooltip="ст. 24 Закону № 922" w:history="1">
        <w:r w:rsidRPr="009F3626">
          <w:rPr>
            <w:rFonts w:ascii="Helvetica" w:eastAsia="Times New Roman" w:hAnsi="Helvetica" w:cs="Helvetica"/>
            <w:color w:val="26539A"/>
            <w:sz w:val="24"/>
            <w:szCs w:val="24"/>
            <w:bdr w:val="none" w:sz="0" w:space="0" w:color="auto" w:frame="1"/>
            <w:lang w:eastAsia="uk-UA"/>
          </w:rPr>
          <w:t>ст. 24 Закону № 922</w:t>
        </w:r>
      </w:hyperlink>
      <w:r w:rsidRPr="009F36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) та від </w:t>
      </w:r>
      <w:r w:rsidRPr="009F3626">
        <w:rPr>
          <w:rFonts w:ascii="Helvetica" w:eastAsia="Times New Roman" w:hAnsi="Helvetica" w:cs="Helvetica"/>
          <w:b/>
          <w:bCs/>
          <w:color w:val="333333"/>
          <w:sz w:val="24"/>
          <w:szCs w:val="24"/>
          <w:bdr w:val="none" w:sz="0" w:space="0" w:color="auto" w:frame="1"/>
          <w:lang w:eastAsia="uk-UA"/>
        </w:rPr>
        <w:t>учасника-переможця</w:t>
      </w:r>
      <w:r w:rsidRPr="009F36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 — забезпечення зобов’язань виконання ним договору про закупівлю (</w:t>
      </w:r>
      <w:hyperlink r:id="rId8" w:tgtFrame="_blank" w:tooltip="ст. 26 Закону № 922" w:history="1">
        <w:r w:rsidRPr="009F3626">
          <w:rPr>
            <w:rFonts w:ascii="Helvetica" w:eastAsia="Times New Roman" w:hAnsi="Helvetica" w:cs="Helvetica"/>
            <w:color w:val="26539A"/>
            <w:sz w:val="24"/>
            <w:szCs w:val="24"/>
            <w:bdr w:val="none" w:sz="0" w:space="0" w:color="auto" w:frame="1"/>
            <w:lang w:eastAsia="uk-UA"/>
          </w:rPr>
          <w:t>ст. 26 Закону № 922</w:t>
        </w:r>
      </w:hyperlink>
      <w:r w:rsidRPr="009F36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). Ці платежі здійснюються за умови, що такі вимоги замовник зазначив в оголошенні про проведення закупівлі.</w:t>
      </w:r>
    </w:p>
    <w:p w:rsidR="009F3626" w:rsidRPr="009F3626" w:rsidRDefault="009F3626" w:rsidP="009F3626">
      <w:pPr>
        <w:shd w:val="clear" w:color="auto" w:fill="FFFFFF"/>
        <w:spacing w:before="150" w:after="0" w:line="390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</w:pPr>
      <w:r w:rsidRPr="009F36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При цьому перша стаття грошових витрат безпосередньо пов’язана з підготовкою до участі в тендері, а друга має характер гарантійних сум, що забезпечують виконання учасником конкретних дій. Як правило, гарантійні кошти підлягають поверненню учаснику.</w:t>
      </w:r>
    </w:p>
    <w:p w:rsidR="009F3626" w:rsidRPr="009F3626" w:rsidRDefault="009F3626" w:rsidP="009F3626">
      <w:pPr>
        <w:shd w:val="clear" w:color="auto" w:fill="FFFFFF"/>
        <w:spacing w:before="150" w:after="0" w:line="390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</w:pPr>
      <w:r w:rsidRPr="009F36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Далі стисло розповімо про всі ці грошові платежі.</w:t>
      </w:r>
    </w:p>
    <w:p w:rsidR="009F3626" w:rsidRPr="009F3626" w:rsidRDefault="009F3626" w:rsidP="009F3626">
      <w:pPr>
        <w:shd w:val="clear" w:color="auto" w:fill="FFFFFF"/>
        <w:spacing w:after="0" w:line="420" w:lineRule="atLeast"/>
        <w:textAlignment w:val="baseline"/>
        <w:outlineLvl w:val="1"/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uk-UA"/>
        </w:rPr>
      </w:pPr>
      <w:r w:rsidRPr="009F3626"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uk-UA"/>
        </w:rPr>
        <w:t>Витрати на підготовку</w:t>
      </w:r>
    </w:p>
    <w:p w:rsidR="009F3626" w:rsidRPr="009F3626" w:rsidRDefault="009F3626" w:rsidP="009F3626">
      <w:pPr>
        <w:shd w:val="clear" w:color="auto" w:fill="FFFFFF"/>
        <w:spacing w:after="0" w:line="390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</w:pPr>
      <w:r w:rsidRPr="009F36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У першу чергу, учаснику слід пам’ятати, що </w:t>
      </w:r>
      <w:r w:rsidRPr="009F3626">
        <w:rPr>
          <w:rFonts w:ascii="Helvetica" w:eastAsia="Times New Roman" w:hAnsi="Helvetica" w:cs="Helvetica"/>
          <w:b/>
          <w:bCs/>
          <w:color w:val="333333"/>
          <w:sz w:val="24"/>
          <w:szCs w:val="24"/>
          <w:bdr w:val="none" w:sz="0" w:space="0" w:color="auto" w:frame="1"/>
          <w:lang w:eastAsia="uk-UA"/>
        </w:rPr>
        <w:t>за подання тендерної пропозиції</w:t>
      </w:r>
      <w:r w:rsidRPr="009F36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, розкритої в ЕСЗ, на електронному торговому майданчику справляється плата. Тарифи за участь встановлені </w:t>
      </w:r>
      <w:hyperlink r:id="rId9" w:tgtFrame="_blank" w:tooltip="п. 4 Порядку № 166" w:history="1">
        <w:r w:rsidRPr="009F3626">
          <w:rPr>
            <w:rFonts w:ascii="Helvetica" w:eastAsia="Times New Roman" w:hAnsi="Helvetica" w:cs="Helvetica"/>
            <w:color w:val="26539A"/>
            <w:sz w:val="24"/>
            <w:szCs w:val="24"/>
            <w:bdr w:val="none" w:sz="0" w:space="0" w:color="auto" w:frame="1"/>
            <w:lang w:eastAsia="uk-UA"/>
          </w:rPr>
          <w:t>п. 4 Порядку № 166</w:t>
        </w:r>
      </w:hyperlink>
      <w:r w:rsidRPr="009F36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 і залежать від очікуваної вартості предмета закупівлі (див. у таблиці).</w:t>
      </w:r>
    </w:p>
    <w:p w:rsidR="009F3626" w:rsidRPr="009F3626" w:rsidRDefault="009F3626" w:rsidP="009F3626">
      <w:pPr>
        <w:shd w:val="clear" w:color="auto" w:fill="FFFFFF"/>
        <w:spacing w:before="150" w:after="0" w:line="450" w:lineRule="atLeast"/>
        <w:textAlignment w:val="baseline"/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uk-UA"/>
        </w:rPr>
      </w:pPr>
      <w:r w:rsidRPr="009F3626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uk-UA"/>
        </w:rPr>
        <w:t>Тарифи для участі в тендері</w:t>
      </w:r>
    </w:p>
    <w:tbl>
      <w:tblPr>
        <w:tblW w:w="12600" w:type="dxa"/>
        <w:shd w:val="clear" w:color="auto" w:fill="FFFFFF"/>
        <w:tblCellMar>
          <w:top w:w="150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678"/>
        <w:gridCol w:w="5922"/>
      </w:tblGrid>
      <w:tr w:rsidR="009F3626" w:rsidRPr="009F3626" w:rsidTr="009F3626">
        <w:tc>
          <w:tcPr>
            <w:tcW w:w="2650" w:type="pct"/>
            <w:tcBorders>
              <w:top w:val="single" w:sz="6" w:space="0" w:color="A8A8A8"/>
              <w:left w:val="single" w:sz="6" w:space="0" w:color="A8A8A8"/>
              <w:bottom w:val="single" w:sz="6" w:space="0" w:color="A8A8A8"/>
              <w:right w:val="single" w:sz="6" w:space="0" w:color="A8A8A8"/>
            </w:tcBorders>
            <w:shd w:val="clear" w:color="auto" w:fill="F6F8FB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3626" w:rsidRPr="009F3626" w:rsidRDefault="009F3626" w:rsidP="009F3626">
            <w:pPr>
              <w:shd w:val="clear" w:color="auto" w:fill="F6F8FB"/>
              <w:spacing w:after="0" w:line="390" w:lineRule="atLeast"/>
              <w:jc w:val="center"/>
              <w:textAlignment w:val="baseline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uk-UA"/>
              </w:rPr>
            </w:pPr>
            <w:r w:rsidRPr="009F362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uk-UA"/>
              </w:rPr>
              <w:t>Бюджет закупівлі</w:t>
            </w:r>
          </w:p>
        </w:tc>
        <w:tc>
          <w:tcPr>
            <w:tcW w:w="2350" w:type="pct"/>
            <w:tcBorders>
              <w:top w:val="single" w:sz="6" w:space="0" w:color="A8A8A8"/>
              <w:left w:val="single" w:sz="6" w:space="0" w:color="A8A8A8"/>
              <w:bottom w:val="single" w:sz="6" w:space="0" w:color="A8A8A8"/>
              <w:right w:val="single" w:sz="6" w:space="0" w:color="A8A8A8"/>
            </w:tcBorders>
            <w:shd w:val="clear" w:color="auto" w:fill="F6F8FB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3626" w:rsidRPr="009F3626" w:rsidRDefault="009F3626" w:rsidP="009F3626">
            <w:pPr>
              <w:shd w:val="clear" w:color="auto" w:fill="F6F8FB"/>
              <w:spacing w:after="0" w:line="390" w:lineRule="atLeast"/>
              <w:jc w:val="center"/>
              <w:textAlignment w:val="baseline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uk-UA"/>
              </w:rPr>
            </w:pPr>
            <w:r w:rsidRPr="009F362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uk-UA"/>
              </w:rPr>
              <w:t>Розмір плати*, грн.</w:t>
            </w:r>
          </w:p>
        </w:tc>
      </w:tr>
      <w:tr w:rsidR="009F3626" w:rsidRPr="009F3626" w:rsidTr="009F3626">
        <w:tc>
          <w:tcPr>
            <w:tcW w:w="0" w:type="auto"/>
            <w:tcBorders>
              <w:top w:val="single" w:sz="6" w:space="0" w:color="A8A8A8"/>
              <w:left w:val="single" w:sz="6" w:space="0" w:color="A8A8A8"/>
              <w:bottom w:val="single" w:sz="6" w:space="0" w:color="A8A8A8"/>
              <w:right w:val="single" w:sz="6" w:space="0" w:color="A8A8A8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3626" w:rsidRPr="009F3626" w:rsidRDefault="009F3626" w:rsidP="009F3626">
            <w:pPr>
              <w:spacing w:after="0" w:line="264" w:lineRule="atLeast"/>
              <w:textAlignment w:val="baseline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uk-UA"/>
              </w:rPr>
            </w:pPr>
            <w:r w:rsidRPr="009F3626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uk-UA"/>
              </w:rPr>
              <w:t>Не більше 20 тис. грн.</w:t>
            </w:r>
          </w:p>
        </w:tc>
        <w:tc>
          <w:tcPr>
            <w:tcW w:w="0" w:type="auto"/>
            <w:tcBorders>
              <w:top w:val="single" w:sz="6" w:space="0" w:color="A8A8A8"/>
              <w:left w:val="single" w:sz="6" w:space="0" w:color="A8A8A8"/>
              <w:bottom w:val="single" w:sz="6" w:space="0" w:color="A8A8A8"/>
              <w:right w:val="single" w:sz="6" w:space="0" w:color="A8A8A8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3626" w:rsidRPr="009F3626" w:rsidRDefault="009F3626" w:rsidP="009F3626">
            <w:pPr>
              <w:spacing w:after="0" w:line="264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uk-UA"/>
              </w:rPr>
            </w:pPr>
            <w:r w:rsidRPr="009F3626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uk-UA"/>
              </w:rPr>
              <w:t>17</w:t>
            </w:r>
          </w:p>
        </w:tc>
      </w:tr>
      <w:tr w:rsidR="009F3626" w:rsidRPr="009F3626" w:rsidTr="009F3626">
        <w:tc>
          <w:tcPr>
            <w:tcW w:w="0" w:type="auto"/>
            <w:tcBorders>
              <w:top w:val="single" w:sz="6" w:space="0" w:color="A8A8A8"/>
              <w:left w:val="single" w:sz="6" w:space="0" w:color="A8A8A8"/>
              <w:bottom w:val="single" w:sz="6" w:space="0" w:color="A8A8A8"/>
              <w:right w:val="single" w:sz="6" w:space="0" w:color="A8A8A8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3626" w:rsidRPr="009F3626" w:rsidRDefault="009F3626" w:rsidP="009F3626">
            <w:pPr>
              <w:spacing w:after="0" w:line="264" w:lineRule="atLeast"/>
              <w:textAlignment w:val="baseline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uk-UA"/>
              </w:rPr>
            </w:pPr>
            <w:r w:rsidRPr="009F3626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uk-UA"/>
              </w:rPr>
              <w:t>Не більше 50 тис. грн.</w:t>
            </w:r>
          </w:p>
        </w:tc>
        <w:tc>
          <w:tcPr>
            <w:tcW w:w="0" w:type="auto"/>
            <w:tcBorders>
              <w:top w:val="single" w:sz="6" w:space="0" w:color="A8A8A8"/>
              <w:left w:val="single" w:sz="6" w:space="0" w:color="A8A8A8"/>
              <w:bottom w:val="single" w:sz="6" w:space="0" w:color="A8A8A8"/>
              <w:right w:val="single" w:sz="6" w:space="0" w:color="A8A8A8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3626" w:rsidRPr="009F3626" w:rsidRDefault="009F3626" w:rsidP="009F3626">
            <w:pPr>
              <w:spacing w:after="0" w:line="264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uk-UA"/>
              </w:rPr>
            </w:pPr>
            <w:r w:rsidRPr="009F3626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uk-UA"/>
              </w:rPr>
              <w:t>119</w:t>
            </w:r>
          </w:p>
        </w:tc>
      </w:tr>
      <w:tr w:rsidR="009F3626" w:rsidRPr="009F3626" w:rsidTr="009F3626">
        <w:tc>
          <w:tcPr>
            <w:tcW w:w="0" w:type="auto"/>
            <w:tcBorders>
              <w:top w:val="single" w:sz="6" w:space="0" w:color="A8A8A8"/>
              <w:left w:val="single" w:sz="6" w:space="0" w:color="A8A8A8"/>
              <w:bottom w:val="single" w:sz="6" w:space="0" w:color="A8A8A8"/>
              <w:right w:val="single" w:sz="6" w:space="0" w:color="A8A8A8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3626" w:rsidRPr="009F3626" w:rsidRDefault="009F3626" w:rsidP="009F3626">
            <w:pPr>
              <w:spacing w:after="0" w:line="264" w:lineRule="atLeast"/>
              <w:textAlignment w:val="baseline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uk-UA"/>
              </w:rPr>
            </w:pPr>
            <w:r w:rsidRPr="009F3626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uk-UA"/>
              </w:rPr>
              <w:lastRenderedPageBreak/>
              <w:t>Не більше 200 тис. грн.</w:t>
            </w:r>
          </w:p>
        </w:tc>
        <w:tc>
          <w:tcPr>
            <w:tcW w:w="0" w:type="auto"/>
            <w:tcBorders>
              <w:top w:val="single" w:sz="6" w:space="0" w:color="A8A8A8"/>
              <w:left w:val="single" w:sz="6" w:space="0" w:color="A8A8A8"/>
              <w:bottom w:val="single" w:sz="6" w:space="0" w:color="A8A8A8"/>
              <w:right w:val="single" w:sz="6" w:space="0" w:color="A8A8A8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3626" w:rsidRPr="009F3626" w:rsidRDefault="009F3626" w:rsidP="009F3626">
            <w:pPr>
              <w:spacing w:after="0" w:line="264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uk-UA"/>
              </w:rPr>
            </w:pPr>
            <w:r w:rsidRPr="009F3626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uk-UA"/>
              </w:rPr>
              <w:t>340</w:t>
            </w:r>
          </w:p>
        </w:tc>
      </w:tr>
      <w:tr w:rsidR="009F3626" w:rsidRPr="009F3626" w:rsidTr="009F3626">
        <w:tc>
          <w:tcPr>
            <w:tcW w:w="0" w:type="auto"/>
            <w:tcBorders>
              <w:top w:val="single" w:sz="6" w:space="0" w:color="A8A8A8"/>
              <w:left w:val="single" w:sz="6" w:space="0" w:color="A8A8A8"/>
              <w:bottom w:val="single" w:sz="6" w:space="0" w:color="A8A8A8"/>
              <w:right w:val="single" w:sz="6" w:space="0" w:color="A8A8A8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3626" w:rsidRPr="009F3626" w:rsidRDefault="009F3626" w:rsidP="009F3626">
            <w:pPr>
              <w:spacing w:after="0" w:line="264" w:lineRule="atLeast"/>
              <w:textAlignment w:val="baseline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uk-UA"/>
              </w:rPr>
            </w:pPr>
            <w:r w:rsidRPr="009F3626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uk-UA"/>
              </w:rPr>
              <w:t>Не більше 1 млн грн.</w:t>
            </w:r>
          </w:p>
        </w:tc>
        <w:tc>
          <w:tcPr>
            <w:tcW w:w="0" w:type="auto"/>
            <w:tcBorders>
              <w:top w:val="single" w:sz="6" w:space="0" w:color="A8A8A8"/>
              <w:left w:val="single" w:sz="6" w:space="0" w:color="A8A8A8"/>
              <w:bottom w:val="single" w:sz="6" w:space="0" w:color="A8A8A8"/>
              <w:right w:val="single" w:sz="6" w:space="0" w:color="A8A8A8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3626" w:rsidRPr="009F3626" w:rsidRDefault="009F3626" w:rsidP="009F3626">
            <w:pPr>
              <w:spacing w:after="0" w:line="264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uk-UA"/>
              </w:rPr>
            </w:pPr>
            <w:r w:rsidRPr="009F3626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uk-UA"/>
              </w:rPr>
              <w:t>510</w:t>
            </w:r>
          </w:p>
        </w:tc>
      </w:tr>
      <w:tr w:rsidR="009F3626" w:rsidRPr="009F3626" w:rsidTr="009F3626">
        <w:tc>
          <w:tcPr>
            <w:tcW w:w="0" w:type="auto"/>
            <w:tcBorders>
              <w:top w:val="single" w:sz="6" w:space="0" w:color="A8A8A8"/>
              <w:left w:val="single" w:sz="6" w:space="0" w:color="A8A8A8"/>
              <w:bottom w:val="single" w:sz="6" w:space="0" w:color="A8A8A8"/>
              <w:right w:val="single" w:sz="6" w:space="0" w:color="A8A8A8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3626" w:rsidRPr="009F3626" w:rsidRDefault="009F3626" w:rsidP="009F3626">
            <w:pPr>
              <w:spacing w:after="0" w:line="264" w:lineRule="atLeast"/>
              <w:textAlignment w:val="baseline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uk-UA"/>
              </w:rPr>
            </w:pPr>
            <w:r w:rsidRPr="009F3626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uk-UA"/>
              </w:rPr>
              <w:t>Більше 1 млн грн.</w:t>
            </w:r>
          </w:p>
        </w:tc>
        <w:tc>
          <w:tcPr>
            <w:tcW w:w="0" w:type="auto"/>
            <w:tcBorders>
              <w:top w:val="single" w:sz="6" w:space="0" w:color="A8A8A8"/>
              <w:left w:val="single" w:sz="6" w:space="0" w:color="A8A8A8"/>
              <w:bottom w:val="single" w:sz="6" w:space="0" w:color="A8A8A8"/>
              <w:right w:val="single" w:sz="6" w:space="0" w:color="A8A8A8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3626" w:rsidRPr="009F3626" w:rsidRDefault="009F3626" w:rsidP="009F3626">
            <w:pPr>
              <w:spacing w:after="0" w:line="264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uk-UA"/>
              </w:rPr>
            </w:pPr>
            <w:r w:rsidRPr="009F3626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uk-UA"/>
              </w:rPr>
              <w:t>1700</w:t>
            </w:r>
          </w:p>
        </w:tc>
      </w:tr>
      <w:tr w:rsidR="009F3626" w:rsidRPr="009F3626" w:rsidTr="009F3626">
        <w:tc>
          <w:tcPr>
            <w:tcW w:w="0" w:type="auto"/>
            <w:gridSpan w:val="2"/>
            <w:tcBorders>
              <w:top w:val="single" w:sz="6" w:space="0" w:color="A8A8A8"/>
              <w:left w:val="single" w:sz="6" w:space="0" w:color="A8A8A8"/>
              <w:bottom w:val="single" w:sz="6" w:space="0" w:color="A8A8A8"/>
              <w:right w:val="single" w:sz="6" w:space="0" w:color="A8A8A8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F3626" w:rsidRPr="009F3626" w:rsidRDefault="009F3626" w:rsidP="009F3626">
            <w:pPr>
              <w:spacing w:after="0" w:line="264" w:lineRule="atLeast"/>
              <w:textAlignment w:val="baseline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uk-UA"/>
              </w:rPr>
            </w:pPr>
            <w:r w:rsidRPr="009F3626">
              <w:rPr>
                <w:rFonts w:ascii="Helvetica" w:eastAsia="Times New Roman" w:hAnsi="Helvetica" w:cs="Helvetica"/>
                <w:i/>
                <w:iCs/>
                <w:color w:val="333333"/>
                <w:sz w:val="19"/>
                <w:szCs w:val="19"/>
                <w:bdr w:val="none" w:sz="0" w:space="0" w:color="auto" w:frame="1"/>
                <w:lang w:eastAsia="uk-UA"/>
              </w:rPr>
              <w:t>* Розмір плати визначено з урахуванням податку на додану вартість (</w:t>
            </w:r>
            <w:hyperlink r:id="rId10" w:tgtFrame="_blank" w:tooltip="п. 4 Порядку № 166" w:history="1">
              <w:r w:rsidRPr="009F3626">
                <w:rPr>
                  <w:rFonts w:ascii="Helvetica" w:eastAsia="Times New Roman" w:hAnsi="Helvetica" w:cs="Helvetica"/>
                  <w:color w:val="26539A"/>
                  <w:sz w:val="19"/>
                  <w:szCs w:val="19"/>
                  <w:bdr w:val="none" w:sz="0" w:space="0" w:color="auto" w:frame="1"/>
                  <w:lang w:eastAsia="uk-UA"/>
                </w:rPr>
                <w:t>п. 4 Порядку № 166</w:t>
              </w:r>
            </w:hyperlink>
            <w:r w:rsidRPr="009F3626">
              <w:rPr>
                <w:rFonts w:ascii="Helvetica" w:eastAsia="Times New Roman" w:hAnsi="Helvetica" w:cs="Helvetica"/>
                <w:i/>
                <w:iCs/>
                <w:color w:val="333333"/>
                <w:sz w:val="19"/>
                <w:szCs w:val="19"/>
                <w:bdr w:val="none" w:sz="0" w:space="0" w:color="auto" w:frame="1"/>
                <w:lang w:eastAsia="uk-UA"/>
              </w:rPr>
              <w:t>, див. також лист ДФСУ від 06.10.2016 р. № 21765/6/99-99-15-03-02-15).</w:t>
            </w:r>
          </w:p>
        </w:tc>
      </w:tr>
    </w:tbl>
    <w:p w:rsidR="009F3626" w:rsidRPr="009F3626" w:rsidRDefault="009F3626" w:rsidP="009F3626">
      <w:pPr>
        <w:shd w:val="clear" w:color="auto" w:fill="FFFFFF"/>
        <w:spacing w:after="0" w:line="390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</w:pPr>
      <w:r w:rsidRPr="009F36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У разі </w:t>
      </w:r>
      <w:r w:rsidRPr="009F3626">
        <w:rPr>
          <w:rFonts w:ascii="Helvetica" w:eastAsia="Times New Roman" w:hAnsi="Helvetica" w:cs="Helvetica"/>
          <w:b/>
          <w:bCs/>
          <w:color w:val="333333"/>
          <w:sz w:val="24"/>
          <w:szCs w:val="24"/>
          <w:bdr w:val="none" w:sz="0" w:space="0" w:color="auto" w:frame="1"/>
          <w:lang w:eastAsia="uk-UA"/>
        </w:rPr>
        <w:t>відміни торгів</w:t>
      </w:r>
      <w:r w:rsidRPr="009F36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 або </w:t>
      </w:r>
      <w:r w:rsidRPr="009F3626">
        <w:rPr>
          <w:rFonts w:ascii="Helvetica" w:eastAsia="Times New Roman" w:hAnsi="Helvetica" w:cs="Helvetica"/>
          <w:b/>
          <w:bCs/>
          <w:color w:val="333333"/>
          <w:sz w:val="24"/>
          <w:szCs w:val="24"/>
          <w:bdr w:val="none" w:sz="0" w:space="0" w:color="auto" w:frame="1"/>
          <w:lang w:eastAsia="uk-UA"/>
        </w:rPr>
        <w:t>визнання їх такими, що не відбулися</w:t>
      </w:r>
      <w:r w:rsidRPr="009F36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 xml:space="preserve">, оператор авторизованого електронного майданчика повертає плату учаснику/переможцеві, крім випадків, коли пропозицію учасника/переможця було </w:t>
      </w:r>
      <w:proofErr w:type="spellStart"/>
      <w:r w:rsidRPr="009F36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відхилено</w:t>
      </w:r>
      <w:proofErr w:type="spellEnd"/>
      <w:r w:rsidRPr="009F36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.</w:t>
      </w:r>
    </w:p>
    <w:p w:rsidR="009F3626" w:rsidRPr="009F3626" w:rsidRDefault="009F3626" w:rsidP="009F3626">
      <w:pPr>
        <w:shd w:val="clear" w:color="auto" w:fill="FFFFFF"/>
        <w:spacing w:after="0" w:line="390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</w:pPr>
      <w:r w:rsidRPr="009F36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Крім того, для участі в тендері на конкретний предмет закупівлі учаснику необхідно в електронній формі подати тендерну пропозицію, яка повинна відповідати тендерній документації замовника. Документи мають підтверджувати відповідність учасника кваліфікаційним критеріям (</w:t>
      </w:r>
      <w:hyperlink r:id="rId11" w:tgtFrame="_blank" w:tooltip="ст. 16 Закону № 922" w:history="1">
        <w:r w:rsidRPr="009F3626">
          <w:rPr>
            <w:rFonts w:ascii="Helvetica" w:eastAsia="Times New Roman" w:hAnsi="Helvetica" w:cs="Helvetica"/>
            <w:color w:val="26539A"/>
            <w:sz w:val="24"/>
            <w:szCs w:val="24"/>
            <w:bdr w:val="none" w:sz="0" w:space="0" w:color="auto" w:frame="1"/>
            <w:lang w:eastAsia="uk-UA"/>
          </w:rPr>
          <w:t>ст. 16 Закону № 922</w:t>
        </w:r>
      </w:hyperlink>
      <w:r w:rsidRPr="009F36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) і містити технічний опис предмета закупівлі. Тож учаснику, можливо, доведеться витратитися на підготовку таких документів. Адже цей момент може істотно вплинути на результати торгів.</w:t>
      </w:r>
    </w:p>
    <w:p w:rsidR="009F3626" w:rsidRPr="009F3626" w:rsidRDefault="009F3626" w:rsidP="009F3626">
      <w:pPr>
        <w:shd w:val="clear" w:color="auto" w:fill="FFFFFF"/>
        <w:spacing w:after="0" w:line="420" w:lineRule="atLeast"/>
        <w:textAlignment w:val="baseline"/>
        <w:outlineLvl w:val="1"/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uk-UA"/>
        </w:rPr>
      </w:pPr>
      <w:r w:rsidRPr="009F3626"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uk-UA"/>
        </w:rPr>
        <w:t>Гарантійні платежі</w:t>
      </w:r>
    </w:p>
    <w:p w:rsidR="009F3626" w:rsidRPr="009F3626" w:rsidRDefault="009F3626" w:rsidP="009F3626">
      <w:pPr>
        <w:shd w:val="clear" w:color="auto" w:fill="FFFFFF"/>
        <w:spacing w:before="150" w:after="0" w:line="390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</w:pPr>
      <w:r w:rsidRPr="009F36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Як ми вже зазначали, гарантійних платежів може бути два.</w:t>
      </w:r>
    </w:p>
    <w:p w:rsidR="009F3626" w:rsidRPr="009F3626" w:rsidRDefault="009F3626" w:rsidP="009F3626">
      <w:pPr>
        <w:shd w:val="clear" w:color="auto" w:fill="FFFFFF"/>
        <w:spacing w:after="0" w:line="390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</w:pPr>
      <w:r w:rsidRPr="009F3626">
        <w:rPr>
          <w:rFonts w:ascii="Helvetica" w:eastAsia="Times New Roman" w:hAnsi="Helvetica" w:cs="Helvetica"/>
          <w:b/>
          <w:bCs/>
          <w:color w:val="333333"/>
          <w:sz w:val="24"/>
          <w:szCs w:val="24"/>
          <w:bdr w:val="none" w:sz="0" w:space="0" w:color="auto" w:frame="1"/>
          <w:lang w:eastAsia="uk-UA"/>
        </w:rPr>
        <w:t>1.</w:t>
      </w:r>
      <w:r w:rsidRPr="009F36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 Замовник від усіх учасників (потенційних постачальників) має право вимагати </w:t>
      </w:r>
      <w:r w:rsidRPr="009F3626">
        <w:rPr>
          <w:rFonts w:ascii="Helvetica" w:eastAsia="Times New Roman" w:hAnsi="Helvetica" w:cs="Helvetica"/>
          <w:b/>
          <w:bCs/>
          <w:color w:val="333333"/>
          <w:sz w:val="24"/>
          <w:szCs w:val="24"/>
          <w:bdr w:val="none" w:sz="0" w:space="0" w:color="auto" w:frame="1"/>
          <w:lang w:eastAsia="uk-UA"/>
        </w:rPr>
        <w:t>забезпечення тендерної пропозиції</w:t>
      </w:r>
      <w:r w:rsidRPr="009F36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. Інакше кажучи, надання грошової гарантії виконання зобов’язань учасника перед замовником, що виникли у зв’язку з поданням тендерної пропозиції (</w:t>
      </w:r>
      <w:hyperlink r:id="rId12" w:tgtFrame="_blank" w:tooltip="ч. 8 ст. 1 Закону № 922" w:history="1">
        <w:r w:rsidRPr="009F3626">
          <w:rPr>
            <w:rFonts w:ascii="Helvetica" w:eastAsia="Times New Roman" w:hAnsi="Helvetica" w:cs="Helvetica"/>
            <w:color w:val="26539A"/>
            <w:sz w:val="24"/>
            <w:szCs w:val="24"/>
            <w:bdr w:val="none" w:sz="0" w:space="0" w:color="auto" w:frame="1"/>
            <w:lang w:eastAsia="uk-UA"/>
          </w:rPr>
          <w:t>ч. 8 ст. 1 Закону № 922</w:t>
        </w:r>
      </w:hyperlink>
      <w:r w:rsidRPr="009F36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).</w:t>
      </w:r>
    </w:p>
    <w:p w:rsidR="009F3626" w:rsidRPr="009F3626" w:rsidRDefault="009F3626" w:rsidP="009F3626">
      <w:pPr>
        <w:shd w:val="clear" w:color="auto" w:fill="FFFFFF"/>
        <w:spacing w:before="150" w:after="0" w:line="390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</w:pPr>
      <w:r w:rsidRPr="009F36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Причому розмір забезпечення в грошовому еквіваленті не може перевищувати:</w:t>
      </w:r>
    </w:p>
    <w:p w:rsidR="009F3626" w:rsidRPr="009F3626" w:rsidRDefault="009F3626" w:rsidP="009F3626">
      <w:pPr>
        <w:spacing w:after="0" w:line="390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bdr w:val="none" w:sz="0" w:space="0" w:color="auto" w:frame="1"/>
          <w:shd w:val="clear" w:color="auto" w:fill="FCFCDE"/>
          <w:lang w:eastAsia="uk-UA"/>
        </w:rPr>
      </w:pPr>
      <w:r w:rsidRPr="009F3626">
        <w:rPr>
          <w:rFonts w:ascii="Helvetica" w:eastAsia="Times New Roman" w:hAnsi="Helvetica" w:cs="Helvetica"/>
          <w:color w:val="333333"/>
          <w:sz w:val="24"/>
          <w:szCs w:val="24"/>
          <w:bdr w:val="none" w:sz="0" w:space="0" w:color="auto" w:frame="1"/>
          <w:shd w:val="clear" w:color="auto" w:fill="FCFCDE"/>
          <w:lang w:eastAsia="uk-UA"/>
        </w:rPr>
        <w:t>0,5 % очікуваної вартості закупівлі у разі закупівлі робіт та 3 % — у разі проведення торгів на закупівлю товарів чи послуг</w:t>
      </w:r>
    </w:p>
    <w:p w:rsidR="009F3626" w:rsidRPr="009F3626" w:rsidRDefault="009F3626" w:rsidP="009F3626">
      <w:pPr>
        <w:shd w:val="clear" w:color="auto" w:fill="FFFFFF"/>
        <w:spacing w:after="0" w:line="390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</w:pPr>
      <w:r w:rsidRPr="009F36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Такий гарантійний платіж сплачується учасником одночасно з поданням тендерної пропозиції і підлягає поверненню у строки, зазначені </w:t>
      </w:r>
      <w:r w:rsidRPr="009F3626">
        <w:rPr>
          <w:rFonts w:ascii="Helvetica" w:eastAsia="Times New Roman" w:hAnsi="Helvetica" w:cs="Helvetica"/>
          <w:i/>
          <w:iCs/>
          <w:color w:val="333333"/>
          <w:sz w:val="24"/>
          <w:szCs w:val="24"/>
          <w:bdr w:val="none" w:sz="0" w:space="0" w:color="auto" w:frame="1"/>
          <w:lang w:eastAsia="uk-UA"/>
        </w:rPr>
        <w:t>в</w:t>
      </w:r>
      <w:hyperlink r:id="rId13" w:tgtFrame="_blank" w:tooltip=" ч. 4 ст. 24 Закону № 922" w:history="1">
        <w:r w:rsidRPr="009F3626">
          <w:rPr>
            <w:rFonts w:ascii="Helvetica" w:eastAsia="Times New Roman" w:hAnsi="Helvetica" w:cs="Helvetica"/>
            <w:color w:val="26539A"/>
            <w:sz w:val="24"/>
            <w:szCs w:val="24"/>
            <w:bdr w:val="none" w:sz="0" w:space="0" w:color="auto" w:frame="1"/>
            <w:lang w:eastAsia="uk-UA"/>
          </w:rPr>
          <w:t> ч. 4 ст. 24 Закону № 922</w:t>
        </w:r>
      </w:hyperlink>
      <w:r w:rsidRPr="009F36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. Надзвичайні випадки, у разі настання яких суми гарантій не повертаються учаснику, зазначено в </w:t>
      </w:r>
      <w:hyperlink r:id="rId14" w:tgtFrame="_blank" w:tooltip="ч. 3 ст. 24 Закону № 922" w:history="1">
        <w:r w:rsidRPr="009F3626">
          <w:rPr>
            <w:rFonts w:ascii="Helvetica" w:eastAsia="Times New Roman" w:hAnsi="Helvetica" w:cs="Helvetica"/>
            <w:color w:val="26539A"/>
            <w:sz w:val="24"/>
            <w:szCs w:val="24"/>
            <w:bdr w:val="none" w:sz="0" w:space="0" w:color="auto" w:frame="1"/>
            <w:lang w:eastAsia="uk-UA"/>
          </w:rPr>
          <w:t>ч. 3 ст. 24 Закону № 922</w:t>
        </w:r>
      </w:hyperlink>
      <w:r w:rsidRPr="009F36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.</w:t>
      </w:r>
    </w:p>
    <w:p w:rsidR="009F3626" w:rsidRPr="009F3626" w:rsidRDefault="009F3626" w:rsidP="009F3626">
      <w:pPr>
        <w:shd w:val="clear" w:color="auto" w:fill="FFFFFF"/>
        <w:spacing w:after="0" w:line="390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</w:pPr>
      <w:r w:rsidRPr="009F3626">
        <w:rPr>
          <w:rFonts w:ascii="Helvetica" w:eastAsia="Times New Roman" w:hAnsi="Helvetica" w:cs="Helvetica"/>
          <w:b/>
          <w:bCs/>
          <w:color w:val="333333"/>
          <w:sz w:val="24"/>
          <w:szCs w:val="24"/>
          <w:bdr w:val="none" w:sz="0" w:space="0" w:color="auto" w:frame="1"/>
          <w:lang w:eastAsia="uk-UA"/>
        </w:rPr>
        <w:t>2.</w:t>
      </w:r>
      <w:r w:rsidRPr="009F36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 Ще один гарантійний платіж </w:t>
      </w:r>
      <w:r w:rsidRPr="009F3626">
        <w:rPr>
          <w:rFonts w:ascii="Helvetica" w:eastAsia="Times New Roman" w:hAnsi="Helvetica" w:cs="Helvetica"/>
          <w:b/>
          <w:bCs/>
          <w:color w:val="333333"/>
          <w:sz w:val="24"/>
          <w:szCs w:val="24"/>
          <w:bdr w:val="none" w:sz="0" w:space="0" w:color="auto" w:frame="1"/>
          <w:lang w:eastAsia="uk-UA"/>
        </w:rPr>
        <w:t>може справлятися тільки з учасника — переможця тендеру</w:t>
      </w:r>
      <w:r w:rsidRPr="009F36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. Цей платіж призначений для забезпечення виконання зобов’язань учасника перед замовником за договором про закупівлю. Розмір його не може перевищувати </w:t>
      </w:r>
      <w:r w:rsidRPr="009F3626">
        <w:rPr>
          <w:rFonts w:ascii="Helvetica" w:eastAsia="Times New Roman" w:hAnsi="Helvetica" w:cs="Helvetica"/>
          <w:b/>
          <w:bCs/>
          <w:color w:val="333333"/>
          <w:sz w:val="24"/>
          <w:szCs w:val="24"/>
          <w:bdr w:val="none" w:sz="0" w:space="0" w:color="auto" w:frame="1"/>
          <w:lang w:eastAsia="uk-UA"/>
        </w:rPr>
        <w:t>5 %</w:t>
      </w:r>
      <w:r w:rsidRPr="009F36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 вартості договору, і таке забезпечення також підлягає поверненню після виконання учасником своїх зобов’язань.</w:t>
      </w:r>
    </w:p>
    <w:p w:rsidR="009F3626" w:rsidRPr="009F3626" w:rsidRDefault="009F3626" w:rsidP="009F3626">
      <w:pPr>
        <w:shd w:val="clear" w:color="auto" w:fill="FFFFFF"/>
        <w:spacing w:after="0" w:line="390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</w:pPr>
      <w:r w:rsidRPr="009F36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Зверніть увагу: і перший і другий гарантійні платежі, у тих </w:t>
      </w:r>
      <w:r w:rsidRPr="009F3626">
        <w:rPr>
          <w:rFonts w:ascii="Helvetica" w:eastAsia="Times New Roman" w:hAnsi="Helvetica" w:cs="Helvetica"/>
          <w:b/>
          <w:bCs/>
          <w:color w:val="333333"/>
          <w:sz w:val="24"/>
          <w:szCs w:val="24"/>
          <w:bdr w:val="none" w:sz="0" w:space="0" w:color="auto" w:frame="1"/>
          <w:lang w:eastAsia="uk-UA"/>
        </w:rPr>
        <w:t>надзвичайних випадках</w:t>
      </w:r>
      <w:r w:rsidRPr="009F36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, коли вони не повертаються учаснику, підлягають перерахуванню замовником до відповідного бюджету (</w:t>
      </w:r>
      <w:hyperlink r:id="rId15" w:tgtFrame="_blank" w:tooltip="п. 5 ст. 24 та п. 3 ст. 26 Закону № 922" w:history="1">
        <w:r w:rsidRPr="009F3626">
          <w:rPr>
            <w:rFonts w:ascii="Helvetica" w:eastAsia="Times New Roman" w:hAnsi="Helvetica" w:cs="Helvetica"/>
            <w:color w:val="26539A"/>
            <w:sz w:val="24"/>
            <w:szCs w:val="24"/>
            <w:bdr w:val="none" w:sz="0" w:space="0" w:color="auto" w:frame="1"/>
            <w:lang w:eastAsia="uk-UA"/>
          </w:rPr>
          <w:t>п. 5 ст. 24 та п. 3 ст. 26 Закону № 922</w:t>
        </w:r>
      </w:hyperlink>
      <w:r w:rsidRPr="009F36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).</w:t>
      </w:r>
    </w:p>
    <w:p w:rsidR="009F3626" w:rsidRPr="009F3626" w:rsidRDefault="009F3626" w:rsidP="009F3626">
      <w:pPr>
        <w:shd w:val="clear" w:color="auto" w:fill="FFFFFF"/>
        <w:spacing w:after="0" w:line="420" w:lineRule="atLeast"/>
        <w:textAlignment w:val="baseline"/>
        <w:outlineLvl w:val="1"/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uk-UA"/>
        </w:rPr>
      </w:pPr>
      <w:r w:rsidRPr="009F3626"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uk-UA"/>
        </w:rPr>
        <w:lastRenderedPageBreak/>
        <w:t>Відображаємо в обліку</w:t>
      </w:r>
    </w:p>
    <w:p w:rsidR="009F3626" w:rsidRPr="009F3626" w:rsidRDefault="009F3626" w:rsidP="009F3626">
      <w:pPr>
        <w:shd w:val="clear" w:color="auto" w:fill="FFFFFF"/>
        <w:spacing w:after="0" w:line="390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</w:pPr>
      <w:r w:rsidRPr="009F36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 xml:space="preserve">У </w:t>
      </w:r>
      <w:proofErr w:type="spellStart"/>
      <w:r w:rsidRPr="009F36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бухобліку</w:t>
      </w:r>
      <w:proofErr w:type="spellEnd"/>
      <w:r w:rsidRPr="009F36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 xml:space="preserve"> всі </w:t>
      </w:r>
      <w:r w:rsidRPr="009F3626">
        <w:rPr>
          <w:rFonts w:ascii="Helvetica" w:eastAsia="Times New Roman" w:hAnsi="Helvetica" w:cs="Helvetica"/>
          <w:b/>
          <w:bCs/>
          <w:color w:val="333333"/>
          <w:sz w:val="24"/>
          <w:szCs w:val="24"/>
          <w:bdr w:val="none" w:sz="0" w:space="0" w:color="auto" w:frame="1"/>
          <w:lang w:eastAsia="uk-UA"/>
        </w:rPr>
        <w:t>витрати, пов’язані з підготовчими роботами</w:t>
      </w:r>
      <w:r w:rsidRPr="009F36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 щодо участі в тендері, зокрема оплата за послуги електронного майданчика, підготовку тендерної документації тощо, </w:t>
      </w:r>
      <w:r w:rsidRPr="009F3626">
        <w:rPr>
          <w:rFonts w:ascii="Helvetica" w:eastAsia="Times New Roman" w:hAnsi="Helvetica" w:cs="Helvetica"/>
          <w:b/>
          <w:bCs/>
          <w:color w:val="333333"/>
          <w:sz w:val="24"/>
          <w:szCs w:val="24"/>
          <w:bdr w:val="none" w:sz="0" w:space="0" w:color="auto" w:frame="1"/>
          <w:lang w:eastAsia="uk-UA"/>
        </w:rPr>
        <w:t>безпосередньо пов’язані зі збутом товарів</w:t>
      </w:r>
      <w:r w:rsidRPr="009F36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, робіт (послуг). При цьому витрати визнаються витратами певного періоду одночасно з визнанням доходу, для отримання якого вони здійснені. Витрати, які неможливо прямо зв’язати з доходом певного періоду, відображаються у складі витрат того звітного періоду, в якому вони були здійснені (</w:t>
      </w:r>
      <w:hyperlink r:id="rId16" w:tgtFrame="_blank" w:tooltip="п. 7 П(С)БО 16 «Витрати»" w:history="1">
        <w:r w:rsidRPr="009F3626">
          <w:rPr>
            <w:rFonts w:ascii="Helvetica" w:eastAsia="Times New Roman" w:hAnsi="Helvetica" w:cs="Helvetica"/>
            <w:color w:val="26539A"/>
            <w:sz w:val="24"/>
            <w:szCs w:val="24"/>
            <w:bdr w:val="none" w:sz="0" w:space="0" w:color="auto" w:frame="1"/>
            <w:lang w:eastAsia="uk-UA"/>
          </w:rPr>
          <w:t>п. 7 П(С)БО 16 «Витрати»</w:t>
        </w:r>
      </w:hyperlink>
      <w:r w:rsidRPr="009F36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).</w:t>
      </w:r>
    </w:p>
    <w:p w:rsidR="009F3626" w:rsidRPr="009F3626" w:rsidRDefault="009F3626" w:rsidP="009F3626">
      <w:pPr>
        <w:shd w:val="clear" w:color="auto" w:fill="FFFFFF"/>
        <w:spacing w:after="0" w:line="390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</w:pPr>
      <w:r w:rsidRPr="009F36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 xml:space="preserve">Загалом, керуючись стандартами </w:t>
      </w:r>
      <w:proofErr w:type="spellStart"/>
      <w:r w:rsidRPr="009F36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бухобліку</w:t>
      </w:r>
      <w:proofErr w:type="spellEnd"/>
      <w:r w:rsidRPr="009F36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 xml:space="preserve"> (</w:t>
      </w:r>
      <w:proofErr w:type="spellStart"/>
      <w:r w:rsidRPr="009F36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fldChar w:fldCharType="begin"/>
      </w:r>
      <w:r w:rsidRPr="009F36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instrText xml:space="preserve"> HYPERLINK "https://i.factor.ua/ukr/law-118/section-580/article-11645/" \o "пп. 5, 7 П(С)БО 16" \t "_blank" </w:instrText>
      </w:r>
      <w:r w:rsidRPr="009F36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fldChar w:fldCharType="separate"/>
      </w:r>
      <w:r w:rsidRPr="009F3626">
        <w:rPr>
          <w:rFonts w:ascii="Helvetica" w:eastAsia="Times New Roman" w:hAnsi="Helvetica" w:cs="Helvetica"/>
          <w:color w:val="26539A"/>
          <w:sz w:val="24"/>
          <w:szCs w:val="24"/>
          <w:bdr w:val="none" w:sz="0" w:space="0" w:color="auto" w:frame="1"/>
          <w:lang w:eastAsia="uk-UA"/>
        </w:rPr>
        <w:t>пп</w:t>
      </w:r>
      <w:proofErr w:type="spellEnd"/>
      <w:r w:rsidRPr="009F3626">
        <w:rPr>
          <w:rFonts w:ascii="Helvetica" w:eastAsia="Times New Roman" w:hAnsi="Helvetica" w:cs="Helvetica"/>
          <w:color w:val="26539A"/>
          <w:sz w:val="24"/>
          <w:szCs w:val="24"/>
          <w:bdr w:val="none" w:sz="0" w:space="0" w:color="auto" w:frame="1"/>
          <w:lang w:eastAsia="uk-UA"/>
        </w:rPr>
        <w:t>. 5, 7 П(С)БО 16</w:t>
      </w:r>
      <w:r w:rsidRPr="009F36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fldChar w:fldCharType="end"/>
      </w:r>
      <w:r w:rsidRPr="009F36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, </w:t>
      </w:r>
      <w:hyperlink r:id="rId17" w:tgtFrame="_blank" w:tooltip="п. 3 розд. І НП(С)БО 1 «Загальні вимоги до фінансової звітності»" w:history="1">
        <w:r w:rsidRPr="009F3626">
          <w:rPr>
            <w:rFonts w:ascii="Helvetica" w:eastAsia="Times New Roman" w:hAnsi="Helvetica" w:cs="Helvetica"/>
            <w:color w:val="26539A"/>
            <w:sz w:val="24"/>
            <w:szCs w:val="24"/>
            <w:bdr w:val="none" w:sz="0" w:space="0" w:color="auto" w:frame="1"/>
            <w:lang w:eastAsia="uk-UA"/>
          </w:rPr>
          <w:t xml:space="preserve">п. 3 </w:t>
        </w:r>
        <w:proofErr w:type="spellStart"/>
        <w:r w:rsidRPr="009F3626">
          <w:rPr>
            <w:rFonts w:ascii="Helvetica" w:eastAsia="Times New Roman" w:hAnsi="Helvetica" w:cs="Helvetica"/>
            <w:color w:val="26539A"/>
            <w:sz w:val="24"/>
            <w:szCs w:val="24"/>
            <w:bdr w:val="none" w:sz="0" w:space="0" w:color="auto" w:frame="1"/>
            <w:lang w:eastAsia="uk-UA"/>
          </w:rPr>
          <w:t>розд</w:t>
        </w:r>
        <w:proofErr w:type="spellEnd"/>
        <w:r w:rsidRPr="009F3626">
          <w:rPr>
            <w:rFonts w:ascii="Helvetica" w:eastAsia="Times New Roman" w:hAnsi="Helvetica" w:cs="Helvetica"/>
            <w:color w:val="26539A"/>
            <w:sz w:val="24"/>
            <w:szCs w:val="24"/>
            <w:bdr w:val="none" w:sz="0" w:space="0" w:color="auto" w:frame="1"/>
            <w:lang w:eastAsia="uk-UA"/>
          </w:rPr>
          <w:t>. І НП(С)БО 1 «Загальні вимоги до фінансової звітності»</w:t>
        </w:r>
      </w:hyperlink>
      <w:r w:rsidRPr="009F36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),</w:t>
      </w:r>
    </w:p>
    <w:p w:rsidR="009F3626" w:rsidRPr="009F3626" w:rsidRDefault="009F3626" w:rsidP="009F3626">
      <w:pPr>
        <w:spacing w:after="0" w:line="390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bdr w:val="none" w:sz="0" w:space="0" w:color="auto" w:frame="1"/>
          <w:shd w:val="clear" w:color="auto" w:fill="FCFCDE"/>
          <w:lang w:eastAsia="uk-UA"/>
        </w:rPr>
      </w:pPr>
      <w:r w:rsidRPr="009F3626">
        <w:rPr>
          <w:rFonts w:ascii="Helvetica" w:eastAsia="Times New Roman" w:hAnsi="Helvetica" w:cs="Helvetica"/>
          <w:color w:val="333333"/>
          <w:sz w:val="24"/>
          <w:szCs w:val="24"/>
          <w:bdr w:val="none" w:sz="0" w:space="0" w:color="auto" w:frame="1"/>
          <w:shd w:val="clear" w:color="auto" w:fill="FCFCDE"/>
          <w:lang w:eastAsia="uk-UA"/>
        </w:rPr>
        <w:t>«тендерні</w:t>
      </w:r>
      <w:r w:rsidRPr="009F3626">
        <w:rPr>
          <w:rFonts w:ascii="Helvetica" w:eastAsia="Times New Roman" w:hAnsi="Helvetica" w:cs="Helvetica"/>
          <w:i/>
          <w:iCs/>
          <w:color w:val="333333"/>
          <w:sz w:val="24"/>
          <w:szCs w:val="24"/>
          <w:bdr w:val="none" w:sz="0" w:space="0" w:color="auto" w:frame="1"/>
          <w:lang w:eastAsia="uk-UA"/>
        </w:rPr>
        <w:t>»</w:t>
      </w:r>
      <w:r w:rsidRPr="009F3626">
        <w:rPr>
          <w:rFonts w:ascii="Helvetica" w:eastAsia="Times New Roman" w:hAnsi="Helvetica" w:cs="Helvetica"/>
          <w:color w:val="333333"/>
          <w:sz w:val="24"/>
          <w:szCs w:val="24"/>
          <w:bdr w:val="none" w:sz="0" w:space="0" w:color="auto" w:frame="1"/>
          <w:shd w:val="clear" w:color="auto" w:fill="FCFCDE"/>
          <w:lang w:eastAsia="uk-UA"/>
        </w:rPr>
        <w:t> витрати слід відносити до складу витрат на збут у періоді їх фактичного здійснення</w:t>
      </w:r>
    </w:p>
    <w:p w:rsidR="009F3626" w:rsidRPr="009F3626" w:rsidRDefault="009F3626" w:rsidP="009F3626">
      <w:pPr>
        <w:shd w:val="clear" w:color="auto" w:fill="FFFFFF"/>
        <w:spacing w:after="0" w:line="390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</w:pPr>
      <w:r w:rsidRPr="009F36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Аналогічну точку зору озвучує Мінфін у своєму </w:t>
      </w:r>
      <w:r w:rsidRPr="009F3626">
        <w:rPr>
          <w:rFonts w:ascii="Helvetica" w:eastAsia="Times New Roman" w:hAnsi="Helvetica" w:cs="Helvetica"/>
          <w:i/>
          <w:iCs/>
          <w:color w:val="333333"/>
          <w:sz w:val="24"/>
          <w:szCs w:val="24"/>
          <w:bdr w:val="none" w:sz="0" w:space="0" w:color="auto" w:frame="1"/>
          <w:lang w:eastAsia="uk-UA"/>
        </w:rPr>
        <w:t>листі від 27.12.2016 р. № 31-11420-07-16/37214 (ср. 036080800)</w:t>
      </w:r>
      <w:r w:rsidRPr="009F36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. Щоправда, він пропонує «підв’язати» спрямованість «тендерних» витрат до результатів тендера:</w:t>
      </w:r>
    </w:p>
    <w:p w:rsidR="009F3626" w:rsidRPr="009F3626" w:rsidRDefault="009F3626" w:rsidP="009F3626">
      <w:pPr>
        <w:shd w:val="clear" w:color="auto" w:fill="FFFFFF"/>
        <w:spacing w:before="150" w:after="0" w:line="390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</w:pPr>
      <w:r w:rsidRPr="009F36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— якщо учасник став переможцем торгів — списуємо до витрат на збут (</w:t>
      </w:r>
      <w:proofErr w:type="spellStart"/>
      <w:r w:rsidRPr="009F36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Дт</w:t>
      </w:r>
      <w:proofErr w:type="spellEnd"/>
      <w:r w:rsidRPr="009F36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 xml:space="preserve"> 93);</w:t>
      </w:r>
    </w:p>
    <w:p w:rsidR="009F3626" w:rsidRPr="009F3626" w:rsidRDefault="009F3626" w:rsidP="009F3626">
      <w:pPr>
        <w:shd w:val="clear" w:color="auto" w:fill="FFFFFF"/>
        <w:spacing w:before="150" w:after="0" w:line="390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</w:pPr>
      <w:r w:rsidRPr="009F36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— у разі програшу в тендері — до інших операційних витрат (</w:t>
      </w:r>
      <w:proofErr w:type="spellStart"/>
      <w:r w:rsidRPr="009F36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Дт</w:t>
      </w:r>
      <w:proofErr w:type="spellEnd"/>
      <w:r w:rsidRPr="009F36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 xml:space="preserve"> 949).</w:t>
      </w:r>
    </w:p>
    <w:p w:rsidR="009F3626" w:rsidRPr="009F3626" w:rsidRDefault="009F3626" w:rsidP="009F3626">
      <w:pPr>
        <w:shd w:val="clear" w:color="auto" w:fill="FFFFFF"/>
        <w:spacing w:after="0" w:line="390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</w:pPr>
      <w:r w:rsidRPr="009F36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 xml:space="preserve">Звідки раптом з’явилася така залежність? Адже стандарти </w:t>
      </w:r>
      <w:proofErr w:type="spellStart"/>
      <w:r w:rsidRPr="009F36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бухобліку</w:t>
      </w:r>
      <w:proofErr w:type="spellEnd"/>
      <w:r w:rsidRPr="009F36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 xml:space="preserve"> нічого подібного не містять. На жаль, Мінфін цього в </w:t>
      </w:r>
      <w:r w:rsidRPr="009F3626">
        <w:rPr>
          <w:rFonts w:ascii="Helvetica" w:eastAsia="Times New Roman" w:hAnsi="Helvetica" w:cs="Helvetica"/>
          <w:i/>
          <w:iCs/>
          <w:color w:val="333333"/>
          <w:sz w:val="24"/>
          <w:szCs w:val="24"/>
          <w:bdr w:val="none" w:sz="0" w:space="0" w:color="auto" w:frame="1"/>
          <w:lang w:eastAsia="uk-UA"/>
        </w:rPr>
        <w:t>листі</w:t>
      </w:r>
      <w:r w:rsidRPr="009F36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 не пояснює…</w:t>
      </w:r>
    </w:p>
    <w:p w:rsidR="009F3626" w:rsidRPr="009F3626" w:rsidRDefault="009F3626" w:rsidP="009F3626">
      <w:pPr>
        <w:shd w:val="clear" w:color="auto" w:fill="FFFFFF"/>
        <w:spacing w:before="150" w:after="0" w:line="390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</w:pPr>
      <w:r w:rsidRPr="009F36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Вважаємо, у будь-якому разі, тобто незалежно від результатів торгів, списання «тендерних» витрат необхідно відображати по рахунку 93 у звітному періоді їх здійснення.</w:t>
      </w:r>
    </w:p>
    <w:p w:rsidR="009F3626" w:rsidRPr="009F3626" w:rsidRDefault="009F3626" w:rsidP="009F3626">
      <w:pPr>
        <w:shd w:val="clear" w:color="auto" w:fill="FFFFFF"/>
        <w:spacing w:after="0" w:line="390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</w:pPr>
      <w:r w:rsidRPr="009F36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До речі, враховуючи, що </w:t>
      </w:r>
      <w:r w:rsidRPr="009F3626">
        <w:rPr>
          <w:rFonts w:ascii="Helvetica" w:eastAsia="Times New Roman" w:hAnsi="Helvetica" w:cs="Helvetica"/>
          <w:b/>
          <w:bCs/>
          <w:color w:val="333333"/>
          <w:sz w:val="24"/>
          <w:szCs w:val="24"/>
          <w:bdr w:val="none" w:sz="0" w:space="0" w:color="auto" w:frame="1"/>
          <w:lang w:eastAsia="uk-UA"/>
        </w:rPr>
        <w:t>кошти за участь у тендері</w:t>
      </w:r>
      <w:r w:rsidRPr="009F36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, перераховані згідно з </w:t>
      </w:r>
      <w:hyperlink r:id="rId18" w:tgtFrame="_blank" w:tooltip="п. 4 Порядку № 166" w:history="1">
        <w:r w:rsidRPr="009F3626">
          <w:rPr>
            <w:rFonts w:ascii="Helvetica" w:eastAsia="Times New Roman" w:hAnsi="Helvetica" w:cs="Helvetica"/>
            <w:color w:val="26539A"/>
            <w:sz w:val="24"/>
            <w:szCs w:val="24"/>
            <w:bdr w:val="none" w:sz="0" w:space="0" w:color="auto" w:frame="1"/>
            <w:lang w:eastAsia="uk-UA"/>
          </w:rPr>
          <w:t>п. 4 Порядку № 166</w:t>
        </w:r>
      </w:hyperlink>
      <w:r w:rsidRPr="009F36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, у разі його </w:t>
      </w:r>
      <w:r w:rsidRPr="009F3626">
        <w:rPr>
          <w:rFonts w:ascii="Helvetica" w:eastAsia="Times New Roman" w:hAnsi="Helvetica" w:cs="Helvetica"/>
          <w:b/>
          <w:bCs/>
          <w:color w:val="333333"/>
          <w:sz w:val="24"/>
          <w:szCs w:val="24"/>
          <w:bdr w:val="none" w:sz="0" w:space="0" w:color="auto" w:frame="1"/>
          <w:lang w:eastAsia="uk-UA"/>
        </w:rPr>
        <w:t>відміни</w:t>
      </w:r>
      <w:r w:rsidRPr="009F36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 або </w:t>
      </w:r>
      <w:r w:rsidRPr="009F3626">
        <w:rPr>
          <w:rFonts w:ascii="Helvetica" w:eastAsia="Times New Roman" w:hAnsi="Helvetica" w:cs="Helvetica"/>
          <w:b/>
          <w:bCs/>
          <w:color w:val="333333"/>
          <w:sz w:val="24"/>
          <w:szCs w:val="24"/>
          <w:bdr w:val="none" w:sz="0" w:space="0" w:color="auto" w:frame="1"/>
          <w:lang w:eastAsia="uk-UA"/>
        </w:rPr>
        <w:t>визнання</w:t>
      </w:r>
      <w:r w:rsidRPr="009F36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 </w:t>
      </w:r>
      <w:proofErr w:type="spellStart"/>
      <w:r w:rsidRPr="009F36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таким,що</w:t>
      </w:r>
      <w:proofErr w:type="spellEnd"/>
      <w:r w:rsidRPr="009F36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 xml:space="preserve"> не відбувся, можуть бути повернені учаснику, </w:t>
      </w:r>
      <w:proofErr w:type="spellStart"/>
      <w:r w:rsidRPr="009F36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логічно</w:t>
      </w:r>
      <w:proofErr w:type="spellEnd"/>
      <w:r w:rsidRPr="009F36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 xml:space="preserve"> визнати їх у складі витрат за фактом завершення торгів. Тоді у момент перерахування таких сум обліковуємо їх на рахунку 39 «Витрати майбутніх періодів» і тільки за результатами тендеру списуємо у витрати.</w:t>
      </w:r>
    </w:p>
    <w:p w:rsidR="009F3626" w:rsidRPr="009F3626" w:rsidRDefault="009F3626" w:rsidP="009F3626">
      <w:pPr>
        <w:shd w:val="clear" w:color="auto" w:fill="FFFFFF"/>
        <w:spacing w:after="0" w:line="390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</w:pPr>
      <w:r w:rsidRPr="009F36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Що стосується </w:t>
      </w:r>
      <w:r w:rsidRPr="009F3626">
        <w:rPr>
          <w:rFonts w:ascii="Helvetica" w:eastAsia="Times New Roman" w:hAnsi="Helvetica" w:cs="Helvetica"/>
          <w:b/>
          <w:bCs/>
          <w:color w:val="333333"/>
          <w:sz w:val="24"/>
          <w:szCs w:val="24"/>
          <w:bdr w:val="none" w:sz="0" w:space="0" w:color="auto" w:frame="1"/>
          <w:lang w:eastAsia="uk-UA"/>
        </w:rPr>
        <w:t>податку на додану вартість</w:t>
      </w:r>
      <w:r w:rsidRPr="009F36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, то операції з постачання «тендерних» послуг підлягають оподаткуванню ПДВ на загальних підставах. Жодних звільнень та пільг </w:t>
      </w:r>
      <w:r w:rsidRPr="009F3626">
        <w:rPr>
          <w:rFonts w:ascii="Helvetica" w:eastAsia="Times New Roman" w:hAnsi="Helvetica" w:cs="Helvetica"/>
          <w:i/>
          <w:iCs/>
          <w:color w:val="333333"/>
          <w:sz w:val="24"/>
          <w:szCs w:val="24"/>
          <w:bdr w:val="none" w:sz="0" w:space="0" w:color="auto" w:frame="1"/>
          <w:lang w:eastAsia="uk-UA"/>
        </w:rPr>
        <w:t>ПКУ</w:t>
      </w:r>
      <w:r w:rsidRPr="009F36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 тут не передбачає.</w:t>
      </w:r>
    </w:p>
    <w:p w:rsidR="009F3626" w:rsidRPr="009F3626" w:rsidRDefault="009F3626" w:rsidP="009F3626">
      <w:pPr>
        <w:shd w:val="clear" w:color="auto" w:fill="FFFFFF"/>
        <w:spacing w:after="0" w:line="390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</w:pPr>
      <w:r w:rsidRPr="009F36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Як роз’яснюють податківці (див. </w:t>
      </w:r>
      <w:r w:rsidRPr="009F3626">
        <w:rPr>
          <w:rFonts w:ascii="Helvetica" w:eastAsia="Times New Roman" w:hAnsi="Helvetica" w:cs="Helvetica"/>
          <w:i/>
          <w:iCs/>
          <w:color w:val="333333"/>
          <w:sz w:val="24"/>
          <w:szCs w:val="24"/>
          <w:bdr w:val="none" w:sz="0" w:space="0" w:color="auto" w:frame="1"/>
          <w:lang w:eastAsia="uk-UA"/>
        </w:rPr>
        <w:t>лист ДФСУ від 06.10.2016 р. № 21765/6/99-99-15-03-02-15</w:t>
      </w:r>
      <w:r w:rsidRPr="009F36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 xml:space="preserve">), операції з постачання послуг у рамках проведення процедур </w:t>
      </w:r>
      <w:proofErr w:type="spellStart"/>
      <w:r w:rsidRPr="009F36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закупівель</w:t>
      </w:r>
      <w:proofErr w:type="spellEnd"/>
      <w:r w:rsidRPr="009F36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 xml:space="preserve"> (тендерних процедур) не є законодавчо встановленим обов’язком і не належать до операцій з постачання державних платних послуг, тому звільнення, передбачене </w:t>
      </w:r>
      <w:proofErr w:type="spellStart"/>
      <w:r w:rsidRPr="009F36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fldChar w:fldCharType="begin"/>
      </w:r>
      <w:r w:rsidRPr="009F36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instrText xml:space="preserve"> HYPERLINK "https://i.factor.ua/ukr/law-24/section-123/article-20890/" \o "п.п. 197.1.18 ПКУ" \t "_blank" </w:instrText>
      </w:r>
      <w:r w:rsidRPr="009F36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fldChar w:fldCharType="separate"/>
      </w:r>
      <w:r w:rsidRPr="009F3626">
        <w:rPr>
          <w:rFonts w:ascii="Helvetica" w:eastAsia="Times New Roman" w:hAnsi="Helvetica" w:cs="Helvetica"/>
          <w:color w:val="26539A"/>
          <w:sz w:val="24"/>
          <w:szCs w:val="24"/>
          <w:bdr w:val="none" w:sz="0" w:space="0" w:color="auto" w:frame="1"/>
          <w:lang w:eastAsia="uk-UA"/>
        </w:rPr>
        <w:t>п.п</w:t>
      </w:r>
      <w:proofErr w:type="spellEnd"/>
      <w:r w:rsidRPr="009F3626">
        <w:rPr>
          <w:rFonts w:ascii="Helvetica" w:eastAsia="Times New Roman" w:hAnsi="Helvetica" w:cs="Helvetica"/>
          <w:color w:val="26539A"/>
          <w:sz w:val="24"/>
          <w:szCs w:val="24"/>
          <w:bdr w:val="none" w:sz="0" w:space="0" w:color="auto" w:frame="1"/>
          <w:lang w:eastAsia="uk-UA"/>
        </w:rPr>
        <w:t>. 197.1.18 ПКУ</w:t>
      </w:r>
      <w:r w:rsidRPr="009F36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fldChar w:fldCharType="end"/>
      </w:r>
      <w:r w:rsidRPr="009F36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, на такі операції не поширюється.</w:t>
      </w:r>
    </w:p>
    <w:p w:rsidR="009F3626" w:rsidRPr="009F3626" w:rsidRDefault="009F3626" w:rsidP="009F3626">
      <w:pPr>
        <w:spacing w:after="0" w:line="390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bdr w:val="none" w:sz="0" w:space="0" w:color="auto" w:frame="1"/>
          <w:shd w:val="clear" w:color="auto" w:fill="FCFCDE"/>
          <w:lang w:eastAsia="uk-UA"/>
        </w:rPr>
      </w:pPr>
      <w:r w:rsidRPr="009F3626">
        <w:rPr>
          <w:rFonts w:ascii="Helvetica" w:eastAsia="Times New Roman" w:hAnsi="Helvetica" w:cs="Helvetica"/>
          <w:color w:val="333333"/>
          <w:sz w:val="24"/>
          <w:szCs w:val="24"/>
          <w:bdr w:val="none" w:sz="0" w:space="0" w:color="auto" w:frame="1"/>
          <w:shd w:val="clear" w:color="auto" w:fill="FCFCDE"/>
          <w:lang w:eastAsia="uk-UA"/>
        </w:rPr>
        <w:lastRenderedPageBreak/>
        <w:t>Відповідно, учасник, який придбаває такі послуги з урахуванням ПДВ, має право включити «вхідний» ПДВ до складу свого податкового кредиту</w:t>
      </w:r>
    </w:p>
    <w:p w:rsidR="009F3626" w:rsidRPr="009F3626" w:rsidRDefault="009F3626" w:rsidP="009F3626">
      <w:pPr>
        <w:shd w:val="clear" w:color="auto" w:fill="FFFFFF"/>
        <w:spacing w:before="150" w:after="0" w:line="390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</w:pPr>
      <w:r w:rsidRPr="009F36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Зрозуміло, за наявності правильно оформленої та зареєстрованої в ЄРПН податкової накладної.</w:t>
      </w:r>
    </w:p>
    <w:p w:rsidR="009F3626" w:rsidRPr="009F3626" w:rsidRDefault="009F3626" w:rsidP="009F3626">
      <w:pPr>
        <w:shd w:val="clear" w:color="auto" w:fill="FFFFFF"/>
        <w:spacing w:after="0" w:line="390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</w:pPr>
      <w:r w:rsidRPr="009F36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Зверніть увагу! Навіть у разі негативного результату торгів, жодних «компенсуючих» ПЗ, згідно з </w:t>
      </w:r>
      <w:hyperlink r:id="rId19" w:tgtFrame="_blank" w:tooltip="п. 198.5 ПКУ" w:history="1">
        <w:r w:rsidRPr="009F3626">
          <w:rPr>
            <w:rFonts w:ascii="Helvetica" w:eastAsia="Times New Roman" w:hAnsi="Helvetica" w:cs="Helvetica"/>
            <w:color w:val="26539A"/>
            <w:sz w:val="24"/>
            <w:szCs w:val="24"/>
            <w:bdr w:val="none" w:sz="0" w:space="0" w:color="auto" w:frame="1"/>
            <w:lang w:eastAsia="uk-UA"/>
          </w:rPr>
          <w:t>п. 198.5 ПКУ</w:t>
        </w:r>
      </w:hyperlink>
      <w:r w:rsidRPr="009F36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 xml:space="preserve">, нараховувати не потрібно. Адже, спрямованість таких витрат не змінилася — вони, як і раніше, пов’язані із </w:t>
      </w:r>
      <w:proofErr w:type="spellStart"/>
      <w:r w:rsidRPr="009F36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госпдіяльністю</w:t>
      </w:r>
      <w:proofErr w:type="spellEnd"/>
      <w:r w:rsidRPr="009F36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.</w:t>
      </w:r>
    </w:p>
    <w:p w:rsidR="009F3626" w:rsidRPr="009F3626" w:rsidRDefault="009F3626" w:rsidP="009F3626">
      <w:pPr>
        <w:shd w:val="clear" w:color="auto" w:fill="FFFFFF"/>
        <w:spacing w:after="0" w:line="390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</w:pPr>
      <w:r w:rsidRPr="009F36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З </w:t>
      </w:r>
      <w:r w:rsidRPr="009F3626">
        <w:rPr>
          <w:rFonts w:ascii="Helvetica" w:eastAsia="Times New Roman" w:hAnsi="Helvetica" w:cs="Helvetica"/>
          <w:b/>
          <w:bCs/>
          <w:color w:val="333333"/>
          <w:sz w:val="24"/>
          <w:szCs w:val="24"/>
          <w:bdr w:val="none" w:sz="0" w:space="0" w:color="auto" w:frame="1"/>
          <w:lang w:eastAsia="uk-UA"/>
        </w:rPr>
        <w:t xml:space="preserve">гарантійними </w:t>
      </w:r>
      <w:proofErr w:type="spellStart"/>
      <w:r w:rsidRPr="009F3626">
        <w:rPr>
          <w:rFonts w:ascii="Helvetica" w:eastAsia="Times New Roman" w:hAnsi="Helvetica" w:cs="Helvetica"/>
          <w:b/>
          <w:bCs/>
          <w:color w:val="333333"/>
          <w:sz w:val="24"/>
          <w:szCs w:val="24"/>
          <w:bdr w:val="none" w:sz="0" w:space="0" w:color="auto" w:frame="1"/>
          <w:lang w:eastAsia="uk-UA"/>
        </w:rPr>
        <w:t>платежами</w:t>
      </w:r>
      <w:proofErr w:type="spellEnd"/>
      <w:r w:rsidRPr="009F36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 xml:space="preserve"> інша річ. Оскільки, вони, як правило, підлягають поверненню учаснику, їм не місце у складі бухгалтерських витрат. Перерахування гарантійних сум відображаємо проводками </w:t>
      </w:r>
      <w:proofErr w:type="spellStart"/>
      <w:r w:rsidRPr="009F36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Дт</w:t>
      </w:r>
      <w:proofErr w:type="spellEnd"/>
      <w:r w:rsidRPr="009F36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 xml:space="preserve"> 377 «Розрахунки з іншими дебіторами» та </w:t>
      </w:r>
      <w:proofErr w:type="spellStart"/>
      <w:r w:rsidRPr="009F36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Кт</w:t>
      </w:r>
      <w:proofErr w:type="spellEnd"/>
      <w:r w:rsidRPr="009F36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 xml:space="preserve"> 311 «Поточні рахунки в національній валюті», а у разі повернення зворотними проводками закриваємо заборгованість: </w:t>
      </w:r>
      <w:proofErr w:type="spellStart"/>
      <w:r w:rsidRPr="009F36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Дт</w:t>
      </w:r>
      <w:proofErr w:type="spellEnd"/>
      <w:r w:rsidRPr="009F36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 xml:space="preserve"> 311 — </w:t>
      </w:r>
      <w:proofErr w:type="spellStart"/>
      <w:r w:rsidRPr="009F36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Кт</w:t>
      </w:r>
      <w:proofErr w:type="spellEnd"/>
      <w:r w:rsidRPr="009F36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 xml:space="preserve"> 377.</w:t>
      </w:r>
    </w:p>
    <w:p w:rsidR="009F3626" w:rsidRPr="009F3626" w:rsidRDefault="009F3626" w:rsidP="009F3626">
      <w:pPr>
        <w:shd w:val="clear" w:color="auto" w:fill="FFFFFF"/>
        <w:spacing w:before="150" w:after="0" w:line="390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</w:pPr>
      <w:r w:rsidRPr="009F36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І, безумовно, про жодний «</w:t>
      </w:r>
      <w:proofErr w:type="spellStart"/>
      <w:r w:rsidRPr="009F36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вхідний»ПДВ</w:t>
      </w:r>
      <w:proofErr w:type="spellEnd"/>
      <w:r w:rsidRPr="009F36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 xml:space="preserve"> при перерахуванні гарантійного платежу і мови не може бути. Адже цей платіж виключно забезпечує виконання зобов’язань за договором і не є платою за операцію постачання товарів (послуг). Тобто, тут просто відсутній об’єкт оподаткування ПДВ.</w:t>
      </w:r>
    </w:p>
    <w:p w:rsidR="009F3626" w:rsidRPr="009F3626" w:rsidRDefault="009F3626" w:rsidP="009F3626">
      <w:pPr>
        <w:shd w:val="clear" w:color="auto" w:fill="FFFFFF"/>
        <w:spacing w:before="150" w:after="0" w:line="390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</w:pPr>
      <w:r w:rsidRPr="009F36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І на закінчення, як і обіцяли, про «штрафну» різницю.</w:t>
      </w:r>
    </w:p>
    <w:p w:rsidR="009F3626" w:rsidRPr="009F3626" w:rsidRDefault="009F3626" w:rsidP="009F3626">
      <w:pPr>
        <w:shd w:val="clear" w:color="auto" w:fill="FFFFFF"/>
        <w:spacing w:after="0" w:line="420" w:lineRule="atLeast"/>
        <w:textAlignment w:val="baseline"/>
        <w:outlineLvl w:val="1"/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uk-UA"/>
        </w:rPr>
      </w:pPr>
      <w:r w:rsidRPr="009F3626"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uk-UA"/>
        </w:rPr>
        <w:t>А чи є «штрафна» різниця?</w:t>
      </w:r>
    </w:p>
    <w:p w:rsidR="009F3626" w:rsidRPr="009F3626" w:rsidRDefault="009F3626" w:rsidP="009F3626">
      <w:pPr>
        <w:shd w:val="clear" w:color="auto" w:fill="FFFFFF"/>
        <w:spacing w:after="0" w:line="390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</w:pPr>
      <w:r w:rsidRPr="009F36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Нагадаємо, згідно з </w:t>
      </w:r>
      <w:hyperlink r:id="rId20" w:tgtFrame="_blank" w:tooltip="п. 145.11 ПКУ" w:history="1">
        <w:r w:rsidRPr="009F3626">
          <w:rPr>
            <w:rFonts w:ascii="Helvetica" w:eastAsia="Times New Roman" w:hAnsi="Helvetica" w:cs="Helvetica"/>
            <w:color w:val="26539A"/>
            <w:sz w:val="24"/>
            <w:szCs w:val="24"/>
            <w:bdr w:val="none" w:sz="0" w:space="0" w:color="auto" w:frame="1"/>
            <w:lang w:eastAsia="uk-UA"/>
          </w:rPr>
          <w:t>п. 145.11 ПКУ</w:t>
        </w:r>
      </w:hyperlink>
      <w:r w:rsidRPr="009F36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, платник податків повинен </w:t>
      </w:r>
      <w:r w:rsidRPr="009F3626">
        <w:rPr>
          <w:rFonts w:ascii="Helvetica" w:eastAsia="Times New Roman" w:hAnsi="Helvetica" w:cs="Helvetica"/>
          <w:b/>
          <w:bCs/>
          <w:color w:val="333333"/>
          <w:sz w:val="24"/>
          <w:szCs w:val="24"/>
          <w:bdr w:val="none" w:sz="0" w:space="0" w:color="auto" w:frame="1"/>
          <w:lang w:eastAsia="uk-UA"/>
        </w:rPr>
        <w:t>збільшити фінансовий результат</w:t>
      </w:r>
      <w:r w:rsidRPr="009F36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 податкового (звітного) періоду на суму </w:t>
      </w:r>
      <w:r w:rsidRPr="009F3626">
        <w:rPr>
          <w:rFonts w:ascii="Helvetica" w:eastAsia="Times New Roman" w:hAnsi="Helvetica" w:cs="Helvetica"/>
          <w:b/>
          <w:bCs/>
          <w:color w:val="333333"/>
          <w:sz w:val="24"/>
          <w:szCs w:val="24"/>
          <w:bdr w:val="none" w:sz="0" w:space="0" w:color="auto" w:frame="1"/>
          <w:lang w:eastAsia="uk-UA"/>
        </w:rPr>
        <w:t>витрат від визнаних штрафів, пені, неустойок</w:t>
      </w:r>
      <w:r w:rsidRPr="009F36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, нарахованих відповідно до цивільного законодавства та цивільно-правових договорів (ЦПД) на користь осіб, які не є платниками податку (крім фізичних осіб), та на користь платників податку, які оподатковуються за ставкою 0 % згідно з </w:t>
      </w:r>
      <w:hyperlink r:id="rId21" w:tgtFrame="_blank" w:tooltip="п. 44 підрозд. 4 розд. ХХ ПКУ" w:history="1">
        <w:r w:rsidRPr="009F3626">
          <w:rPr>
            <w:rFonts w:ascii="Helvetica" w:eastAsia="Times New Roman" w:hAnsi="Helvetica" w:cs="Helvetica"/>
            <w:color w:val="26539A"/>
            <w:sz w:val="24"/>
            <w:szCs w:val="24"/>
            <w:bdr w:val="none" w:sz="0" w:space="0" w:color="auto" w:frame="1"/>
            <w:lang w:eastAsia="uk-UA"/>
          </w:rPr>
          <w:t xml:space="preserve">п. 44 </w:t>
        </w:r>
        <w:proofErr w:type="spellStart"/>
        <w:r w:rsidRPr="009F3626">
          <w:rPr>
            <w:rFonts w:ascii="Helvetica" w:eastAsia="Times New Roman" w:hAnsi="Helvetica" w:cs="Helvetica"/>
            <w:color w:val="26539A"/>
            <w:sz w:val="24"/>
            <w:szCs w:val="24"/>
            <w:bdr w:val="none" w:sz="0" w:space="0" w:color="auto" w:frame="1"/>
            <w:lang w:eastAsia="uk-UA"/>
          </w:rPr>
          <w:t>підрозд</w:t>
        </w:r>
        <w:proofErr w:type="spellEnd"/>
        <w:r w:rsidRPr="009F3626">
          <w:rPr>
            <w:rFonts w:ascii="Helvetica" w:eastAsia="Times New Roman" w:hAnsi="Helvetica" w:cs="Helvetica"/>
            <w:color w:val="26539A"/>
            <w:sz w:val="24"/>
            <w:szCs w:val="24"/>
            <w:bdr w:val="none" w:sz="0" w:space="0" w:color="auto" w:frame="1"/>
            <w:lang w:eastAsia="uk-UA"/>
          </w:rPr>
          <w:t xml:space="preserve">. 4 </w:t>
        </w:r>
        <w:proofErr w:type="spellStart"/>
        <w:r w:rsidRPr="009F3626">
          <w:rPr>
            <w:rFonts w:ascii="Helvetica" w:eastAsia="Times New Roman" w:hAnsi="Helvetica" w:cs="Helvetica"/>
            <w:color w:val="26539A"/>
            <w:sz w:val="24"/>
            <w:szCs w:val="24"/>
            <w:bdr w:val="none" w:sz="0" w:space="0" w:color="auto" w:frame="1"/>
            <w:lang w:eastAsia="uk-UA"/>
          </w:rPr>
          <w:t>розд</w:t>
        </w:r>
        <w:proofErr w:type="spellEnd"/>
        <w:r w:rsidRPr="009F3626">
          <w:rPr>
            <w:rFonts w:ascii="Helvetica" w:eastAsia="Times New Roman" w:hAnsi="Helvetica" w:cs="Helvetica"/>
            <w:color w:val="26539A"/>
            <w:sz w:val="24"/>
            <w:szCs w:val="24"/>
            <w:bdr w:val="none" w:sz="0" w:space="0" w:color="auto" w:frame="1"/>
            <w:lang w:eastAsia="uk-UA"/>
          </w:rPr>
          <w:t>. ХХ ПКУ</w:t>
        </w:r>
      </w:hyperlink>
      <w:r w:rsidRPr="009F36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.</w:t>
      </w:r>
    </w:p>
    <w:p w:rsidR="009F3626" w:rsidRPr="009F3626" w:rsidRDefault="009F3626" w:rsidP="009F3626">
      <w:pPr>
        <w:shd w:val="clear" w:color="auto" w:fill="FFFFFF"/>
        <w:spacing w:after="0" w:line="390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</w:pPr>
      <w:r w:rsidRPr="009F36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Тобто </w:t>
      </w:r>
      <w:r w:rsidRPr="009F3626">
        <w:rPr>
          <w:rFonts w:ascii="Helvetica" w:eastAsia="Times New Roman" w:hAnsi="Helvetica" w:cs="Helvetica"/>
          <w:i/>
          <w:iCs/>
          <w:color w:val="333333"/>
          <w:sz w:val="24"/>
          <w:szCs w:val="24"/>
          <w:bdr w:val="none" w:sz="0" w:space="0" w:color="auto" w:frame="1"/>
          <w:lang w:eastAsia="uk-UA"/>
        </w:rPr>
        <w:t>ПКУ</w:t>
      </w:r>
      <w:r w:rsidRPr="009F36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 вимагає проводити коригування щодо штрафів, пені, неустойки, нарахованих відповідно до цивільного законодавства та ЦПД. Маються на увазі штрафні санкції, передбачені </w:t>
      </w:r>
      <w:proofErr w:type="spellStart"/>
      <w:r w:rsidRPr="009F36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fldChar w:fldCharType="begin"/>
      </w:r>
      <w:r w:rsidRPr="009F36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instrText xml:space="preserve"> HYPERLINK "https://i.factor.ua/ukr/law-54/section-296/article-5270/" \o "гл. 49 ЦКУ " \t "_blank" </w:instrText>
      </w:r>
      <w:r w:rsidRPr="009F36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fldChar w:fldCharType="separate"/>
      </w:r>
      <w:r w:rsidRPr="009F3626">
        <w:rPr>
          <w:rFonts w:ascii="Helvetica" w:eastAsia="Times New Roman" w:hAnsi="Helvetica" w:cs="Helvetica"/>
          <w:color w:val="26539A"/>
          <w:sz w:val="24"/>
          <w:szCs w:val="24"/>
          <w:bdr w:val="none" w:sz="0" w:space="0" w:color="auto" w:frame="1"/>
          <w:lang w:eastAsia="uk-UA"/>
        </w:rPr>
        <w:t>гл</w:t>
      </w:r>
      <w:proofErr w:type="spellEnd"/>
      <w:r w:rsidRPr="009F3626">
        <w:rPr>
          <w:rFonts w:ascii="Helvetica" w:eastAsia="Times New Roman" w:hAnsi="Helvetica" w:cs="Helvetica"/>
          <w:color w:val="26539A"/>
          <w:sz w:val="24"/>
          <w:szCs w:val="24"/>
          <w:bdr w:val="none" w:sz="0" w:space="0" w:color="auto" w:frame="1"/>
          <w:lang w:eastAsia="uk-UA"/>
        </w:rPr>
        <w:t>. 49 ЦКУ </w:t>
      </w:r>
      <w:r w:rsidRPr="009F36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fldChar w:fldCharType="end"/>
      </w:r>
      <w:r w:rsidRPr="009F36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за неналежне виконання зобов’язань за ЦПД.</w:t>
      </w:r>
    </w:p>
    <w:p w:rsidR="009F3626" w:rsidRPr="009F3626" w:rsidRDefault="009F3626" w:rsidP="009F3626">
      <w:pPr>
        <w:shd w:val="clear" w:color="auto" w:fill="FFFFFF"/>
        <w:spacing w:after="0" w:line="390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</w:pPr>
      <w:r w:rsidRPr="009F36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Незважаючи на те, що гарантійні суми безпосередньо не названі «штрафом, пенею, неустойкою», за своєю суттю вони також належать до забезпечення виконання зобов’язань суб’єктом господарювання (</w:t>
      </w:r>
      <w:hyperlink r:id="rId22" w:tgtFrame="_blank" w:tooltip="ст. 546 ЦКУ" w:history="1">
        <w:r w:rsidRPr="009F3626">
          <w:rPr>
            <w:rFonts w:ascii="Helvetica" w:eastAsia="Times New Roman" w:hAnsi="Helvetica" w:cs="Helvetica"/>
            <w:color w:val="26539A"/>
            <w:sz w:val="24"/>
            <w:szCs w:val="24"/>
            <w:bdr w:val="none" w:sz="0" w:space="0" w:color="auto" w:frame="1"/>
            <w:lang w:eastAsia="uk-UA"/>
          </w:rPr>
          <w:t>ст. 546 ЦКУ</w:t>
        </w:r>
      </w:hyperlink>
      <w:r w:rsidRPr="009F36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). А отже,</w:t>
      </w:r>
    </w:p>
    <w:p w:rsidR="009F3626" w:rsidRPr="009F3626" w:rsidRDefault="009F3626" w:rsidP="009F3626">
      <w:pPr>
        <w:spacing w:after="0" w:line="390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bdr w:val="none" w:sz="0" w:space="0" w:color="auto" w:frame="1"/>
          <w:shd w:val="clear" w:color="auto" w:fill="FCFCDE"/>
          <w:lang w:eastAsia="uk-UA"/>
        </w:rPr>
      </w:pPr>
      <w:r w:rsidRPr="009F3626">
        <w:rPr>
          <w:rFonts w:ascii="Helvetica" w:eastAsia="Times New Roman" w:hAnsi="Helvetica" w:cs="Helvetica"/>
          <w:color w:val="333333"/>
          <w:sz w:val="24"/>
          <w:szCs w:val="24"/>
          <w:bdr w:val="none" w:sz="0" w:space="0" w:color="auto" w:frame="1"/>
          <w:shd w:val="clear" w:color="auto" w:fill="FCFCDE"/>
          <w:lang w:eastAsia="uk-UA"/>
        </w:rPr>
        <w:t>гарантійний платіж, який не повертається учаснику у зв’язку з невиконанням ним зобов’язань, для цілей </w:t>
      </w:r>
      <w:proofErr w:type="spellStart"/>
      <w:r w:rsidRPr="009F3626">
        <w:rPr>
          <w:rFonts w:ascii="Helvetica" w:eastAsia="Times New Roman" w:hAnsi="Helvetica" w:cs="Helvetica"/>
          <w:color w:val="333333"/>
          <w:sz w:val="24"/>
          <w:szCs w:val="24"/>
          <w:bdr w:val="none" w:sz="0" w:space="0" w:color="auto" w:frame="1"/>
          <w:shd w:val="clear" w:color="auto" w:fill="FCFCDE"/>
          <w:lang w:eastAsia="uk-UA"/>
        </w:rPr>
        <w:fldChar w:fldCharType="begin"/>
      </w:r>
      <w:r w:rsidRPr="009F3626">
        <w:rPr>
          <w:rFonts w:ascii="Helvetica" w:eastAsia="Times New Roman" w:hAnsi="Helvetica" w:cs="Helvetica"/>
          <w:color w:val="333333"/>
          <w:sz w:val="24"/>
          <w:szCs w:val="24"/>
          <w:bdr w:val="none" w:sz="0" w:space="0" w:color="auto" w:frame="1"/>
          <w:shd w:val="clear" w:color="auto" w:fill="FCFCDE"/>
          <w:lang w:eastAsia="uk-UA"/>
        </w:rPr>
        <w:instrText xml:space="preserve"> HYPERLINK "https://i.factor.ua/ukr/law-24/section-517/article-20883/" \o "п.п. 140.5.11 ПКУ" \t "_blank" </w:instrText>
      </w:r>
      <w:r w:rsidRPr="009F3626">
        <w:rPr>
          <w:rFonts w:ascii="Helvetica" w:eastAsia="Times New Roman" w:hAnsi="Helvetica" w:cs="Helvetica"/>
          <w:color w:val="333333"/>
          <w:sz w:val="24"/>
          <w:szCs w:val="24"/>
          <w:bdr w:val="none" w:sz="0" w:space="0" w:color="auto" w:frame="1"/>
          <w:shd w:val="clear" w:color="auto" w:fill="FCFCDE"/>
          <w:lang w:eastAsia="uk-UA"/>
        </w:rPr>
        <w:fldChar w:fldCharType="separate"/>
      </w:r>
      <w:r w:rsidRPr="009F3626">
        <w:rPr>
          <w:rFonts w:ascii="Helvetica" w:eastAsia="Times New Roman" w:hAnsi="Helvetica" w:cs="Helvetica"/>
          <w:color w:val="26539A"/>
          <w:sz w:val="24"/>
          <w:szCs w:val="24"/>
          <w:bdr w:val="none" w:sz="0" w:space="0" w:color="auto" w:frame="1"/>
          <w:lang w:eastAsia="uk-UA"/>
        </w:rPr>
        <w:t>п.п</w:t>
      </w:r>
      <w:proofErr w:type="spellEnd"/>
      <w:r w:rsidRPr="009F3626">
        <w:rPr>
          <w:rFonts w:ascii="Helvetica" w:eastAsia="Times New Roman" w:hAnsi="Helvetica" w:cs="Helvetica"/>
          <w:color w:val="26539A"/>
          <w:sz w:val="24"/>
          <w:szCs w:val="24"/>
          <w:bdr w:val="none" w:sz="0" w:space="0" w:color="auto" w:frame="1"/>
          <w:lang w:eastAsia="uk-UA"/>
        </w:rPr>
        <w:t>. 140.5.11 ПКУ</w:t>
      </w:r>
      <w:r w:rsidRPr="009F3626">
        <w:rPr>
          <w:rFonts w:ascii="Helvetica" w:eastAsia="Times New Roman" w:hAnsi="Helvetica" w:cs="Helvetica"/>
          <w:color w:val="333333"/>
          <w:sz w:val="24"/>
          <w:szCs w:val="24"/>
          <w:bdr w:val="none" w:sz="0" w:space="0" w:color="auto" w:frame="1"/>
          <w:shd w:val="clear" w:color="auto" w:fill="FCFCDE"/>
          <w:lang w:eastAsia="uk-UA"/>
        </w:rPr>
        <w:fldChar w:fldCharType="end"/>
      </w:r>
      <w:r w:rsidRPr="009F3626">
        <w:rPr>
          <w:rFonts w:ascii="Helvetica" w:eastAsia="Times New Roman" w:hAnsi="Helvetica" w:cs="Helvetica"/>
          <w:color w:val="333333"/>
          <w:sz w:val="24"/>
          <w:szCs w:val="24"/>
          <w:bdr w:val="none" w:sz="0" w:space="0" w:color="auto" w:frame="1"/>
          <w:shd w:val="clear" w:color="auto" w:fill="FCFCDE"/>
          <w:lang w:eastAsia="uk-UA"/>
        </w:rPr>
        <w:t> може трактуватися як штраф</w:t>
      </w:r>
    </w:p>
    <w:p w:rsidR="009F3626" w:rsidRPr="009F3626" w:rsidRDefault="009F3626" w:rsidP="009F3626">
      <w:pPr>
        <w:shd w:val="clear" w:color="auto" w:fill="FFFFFF"/>
        <w:spacing w:after="0" w:line="390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</w:pPr>
      <w:r w:rsidRPr="009F36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lastRenderedPageBreak/>
        <w:t>Незважаючи на те, що з таким фіскальним підходом можна було б посперечатися, контролери вже поспішили його озвучити в </w:t>
      </w:r>
      <w:r w:rsidRPr="009F3626">
        <w:rPr>
          <w:rFonts w:ascii="Helvetica" w:eastAsia="Times New Roman" w:hAnsi="Helvetica" w:cs="Helvetica"/>
          <w:i/>
          <w:iCs/>
          <w:color w:val="333333"/>
          <w:sz w:val="24"/>
          <w:szCs w:val="24"/>
          <w:bdr w:val="none" w:sz="0" w:space="0" w:color="auto" w:frame="1"/>
          <w:lang w:eastAsia="uk-UA"/>
        </w:rPr>
        <w:t>листі ДФСУ від 27.03.2018 р. № 1260/6/99-99-15-02-02-15/ІПК</w:t>
      </w:r>
      <w:r w:rsidRPr="009F36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.</w:t>
      </w:r>
    </w:p>
    <w:p w:rsidR="009F3626" w:rsidRPr="009F3626" w:rsidRDefault="009F3626" w:rsidP="009F3626">
      <w:pPr>
        <w:shd w:val="clear" w:color="auto" w:fill="FFFFFF"/>
        <w:spacing w:after="0" w:line="390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</w:pPr>
      <w:r w:rsidRPr="009F36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Утім, цей </w:t>
      </w:r>
      <w:r w:rsidRPr="009F3626">
        <w:rPr>
          <w:rFonts w:ascii="Helvetica" w:eastAsia="Times New Roman" w:hAnsi="Helvetica" w:cs="Helvetica"/>
          <w:i/>
          <w:iCs/>
          <w:color w:val="333333"/>
          <w:sz w:val="24"/>
          <w:szCs w:val="24"/>
          <w:bdr w:val="none" w:sz="0" w:space="0" w:color="auto" w:frame="1"/>
          <w:lang w:eastAsia="uk-UA"/>
        </w:rPr>
        <w:t>лист</w:t>
      </w:r>
      <w:r w:rsidRPr="009F36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 xml:space="preserve"> має статус індивідуальної податкової консультації, а вона, як відомо, може бути використана тільки особою, якій призначена. Але напрямок думок контролерів очевидний… </w:t>
      </w:r>
      <w:r w:rsidRPr="009F3626">
        <w:rPr>
          <w:rFonts w:ascii="Segoe UI Symbol" w:eastAsia="Times New Roman" w:hAnsi="Segoe UI Symbol" w:cs="Segoe UI Symbol"/>
          <w:color w:val="333333"/>
          <w:sz w:val="24"/>
          <w:szCs w:val="24"/>
          <w:lang w:eastAsia="uk-UA"/>
        </w:rPr>
        <w:t>☹</w:t>
      </w:r>
    </w:p>
    <w:p w:rsidR="009F3626" w:rsidRPr="009F3626" w:rsidRDefault="009F3626" w:rsidP="009F3626">
      <w:pPr>
        <w:shd w:val="clear" w:color="auto" w:fill="FFFFFF"/>
        <w:spacing w:before="150" w:after="0" w:line="390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</w:pPr>
      <w:r w:rsidRPr="009F36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У такому разі «зниклий» гарантійний платіж учасник списує до складу бухгалтерських витрат на субрахунок 948 «Визнані штрафи, пені, неустойки».</w:t>
      </w:r>
    </w:p>
    <w:p w:rsidR="009F3626" w:rsidRPr="009F3626" w:rsidRDefault="009F3626" w:rsidP="009F3626">
      <w:pPr>
        <w:shd w:val="clear" w:color="auto" w:fill="FFFFFF"/>
        <w:spacing w:after="0" w:line="390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</w:pPr>
      <w:r w:rsidRPr="009F36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У свою чергу, </w:t>
      </w:r>
      <w:r w:rsidRPr="009F3626">
        <w:rPr>
          <w:rFonts w:ascii="Helvetica" w:eastAsia="Times New Roman" w:hAnsi="Helvetica" w:cs="Helvetica"/>
          <w:b/>
          <w:bCs/>
          <w:color w:val="333333"/>
          <w:sz w:val="24"/>
          <w:szCs w:val="24"/>
          <w:bdr w:val="none" w:sz="0" w:space="0" w:color="auto" w:frame="1"/>
          <w:lang w:eastAsia="uk-UA"/>
        </w:rPr>
        <w:t>«</w:t>
      </w:r>
      <w:proofErr w:type="spellStart"/>
      <w:r w:rsidRPr="009F3626">
        <w:rPr>
          <w:rFonts w:ascii="Helvetica" w:eastAsia="Times New Roman" w:hAnsi="Helvetica" w:cs="Helvetica"/>
          <w:b/>
          <w:bCs/>
          <w:color w:val="333333"/>
          <w:sz w:val="24"/>
          <w:szCs w:val="24"/>
          <w:bdr w:val="none" w:sz="0" w:space="0" w:color="auto" w:frame="1"/>
          <w:lang w:eastAsia="uk-UA"/>
        </w:rPr>
        <w:t>прибутківцям</w:t>
      </w:r>
      <w:proofErr w:type="spellEnd"/>
      <w:r w:rsidRPr="009F3626">
        <w:rPr>
          <w:rFonts w:ascii="Helvetica" w:eastAsia="Times New Roman" w:hAnsi="Helvetica" w:cs="Helvetica"/>
          <w:b/>
          <w:bCs/>
          <w:color w:val="333333"/>
          <w:sz w:val="24"/>
          <w:szCs w:val="24"/>
          <w:bdr w:val="none" w:sz="0" w:space="0" w:color="auto" w:frame="1"/>
          <w:lang w:eastAsia="uk-UA"/>
        </w:rPr>
        <w:t>», які застосовують податкові різниці</w:t>
      </w:r>
      <w:r w:rsidRPr="009F36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, доведеться на цю суму збільшити об’єкт оподаткування податком на прибуток (</w:t>
      </w:r>
      <w:hyperlink r:id="rId23" w:tgtFrame="_blank" w:tooltip="п. 145.11 ПКУ" w:history="1">
        <w:r w:rsidRPr="009F3626">
          <w:rPr>
            <w:rFonts w:ascii="Helvetica" w:eastAsia="Times New Roman" w:hAnsi="Helvetica" w:cs="Helvetica"/>
            <w:color w:val="26539A"/>
            <w:sz w:val="24"/>
            <w:szCs w:val="24"/>
            <w:bdr w:val="none" w:sz="0" w:space="0" w:color="auto" w:frame="1"/>
            <w:lang w:eastAsia="uk-UA"/>
          </w:rPr>
          <w:t>п. 145.11 ПКУ</w:t>
        </w:r>
      </w:hyperlink>
      <w:r w:rsidRPr="009F36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) і врахувати її в рядку 3.1.11 додатка РІ декларації з податку на прибуток.</w:t>
      </w:r>
    </w:p>
    <w:p w:rsidR="009F3626" w:rsidRPr="009F3626" w:rsidRDefault="009F3626" w:rsidP="009F3626">
      <w:pPr>
        <w:shd w:val="clear" w:color="auto" w:fill="FFFFFF"/>
        <w:spacing w:before="150" w:after="0" w:line="390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</w:pPr>
      <w:r w:rsidRPr="009F36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 xml:space="preserve">Загалом, головне про облік «тендерних» витрат ми розповіли. Далі все залежить від вас. Насмілюйтесь — беріть участь у тендері і </w:t>
      </w:r>
      <w:proofErr w:type="spellStart"/>
      <w:r w:rsidRPr="009F36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вигравайте</w:t>
      </w:r>
      <w:proofErr w:type="spellEnd"/>
      <w:r w:rsidRPr="009F3626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!</w:t>
      </w:r>
    </w:p>
    <w:p w:rsidR="009F3626" w:rsidRPr="009F3626" w:rsidRDefault="009F3626" w:rsidP="009F3626">
      <w:pPr>
        <w:spacing w:after="0" w:line="390" w:lineRule="atLeast"/>
        <w:textAlignment w:val="baseline"/>
        <w:outlineLvl w:val="2"/>
        <w:rPr>
          <w:rFonts w:ascii="Helvetica" w:eastAsia="Times New Roman" w:hAnsi="Helvetica" w:cs="Helvetica"/>
          <w:b/>
          <w:bCs/>
          <w:color w:val="333333"/>
          <w:sz w:val="27"/>
          <w:szCs w:val="27"/>
          <w:bdr w:val="none" w:sz="0" w:space="0" w:color="auto" w:frame="1"/>
          <w:shd w:val="clear" w:color="auto" w:fill="E6F9F2"/>
          <w:lang w:eastAsia="uk-UA"/>
        </w:rPr>
      </w:pPr>
      <w:r w:rsidRPr="009F3626">
        <w:rPr>
          <w:rFonts w:ascii="Helvetica" w:eastAsia="Times New Roman" w:hAnsi="Helvetica" w:cs="Helvetica"/>
          <w:b/>
          <w:bCs/>
          <w:color w:val="333333"/>
          <w:sz w:val="27"/>
          <w:szCs w:val="27"/>
          <w:bdr w:val="none" w:sz="0" w:space="0" w:color="auto" w:frame="1"/>
          <w:shd w:val="clear" w:color="auto" w:fill="E6F9F2"/>
          <w:lang w:eastAsia="uk-UA"/>
        </w:rPr>
        <w:t>висновки</w:t>
      </w:r>
    </w:p>
    <w:p w:rsidR="009F3626" w:rsidRPr="009F3626" w:rsidRDefault="009F3626" w:rsidP="009F3626">
      <w:pPr>
        <w:numPr>
          <w:ilvl w:val="0"/>
          <w:numId w:val="1"/>
        </w:numPr>
        <w:spacing w:before="150" w:after="150" w:line="240" w:lineRule="auto"/>
        <w:ind w:left="0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bdr w:val="none" w:sz="0" w:space="0" w:color="auto" w:frame="1"/>
          <w:shd w:val="clear" w:color="auto" w:fill="E6F9F2"/>
          <w:lang w:eastAsia="uk-UA"/>
        </w:rPr>
      </w:pPr>
      <w:r w:rsidRPr="009F3626">
        <w:rPr>
          <w:rFonts w:ascii="Helvetica" w:eastAsia="Times New Roman" w:hAnsi="Helvetica" w:cs="Helvetica"/>
          <w:color w:val="333333"/>
          <w:sz w:val="24"/>
          <w:szCs w:val="24"/>
          <w:bdr w:val="none" w:sz="0" w:space="0" w:color="auto" w:frame="1"/>
          <w:shd w:val="clear" w:color="auto" w:fill="E6F9F2"/>
          <w:lang w:eastAsia="uk-UA"/>
        </w:rPr>
        <w:t>У загальному випадку учасник може зіткнутися з двома видами грошових витрат на тендер: витрати на підготовку до нього та гарантійні платежі.</w:t>
      </w:r>
    </w:p>
    <w:p w:rsidR="009F3626" w:rsidRPr="009F3626" w:rsidRDefault="009F3626" w:rsidP="009F3626">
      <w:pPr>
        <w:numPr>
          <w:ilvl w:val="0"/>
          <w:numId w:val="1"/>
        </w:numPr>
        <w:spacing w:before="150" w:after="150" w:line="240" w:lineRule="auto"/>
        <w:ind w:left="0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bdr w:val="none" w:sz="0" w:space="0" w:color="auto" w:frame="1"/>
          <w:shd w:val="clear" w:color="auto" w:fill="E6F9F2"/>
          <w:lang w:eastAsia="uk-UA"/>
        </w:rPr>
      </w:pPr>
      <w:r w:rsidRPr="009F3626">
        <w:rPr>
          <w:rFonts w:ascii="Helvetica" w:eastAsia="Times New Roman" w:hAnsi="Helvetica" w:cs="Helvetica"/>
          <w:color w:val="333333"/>
          <w:sz w:val="24"/>
          <w:szCs w:val="24"/>
          <w:bdr w:val="none" w:sz="0" w:space="0" w:color="auto" w:frame="1"/>
          <w:shd w:val="clear" w:color="auto" w:fill="E6F9F2"/>
          <w:lang w:eastAsia="uk-UA"/>
        </w:rPr>
        <w:t>Для цілей податкового обліку «тендерні» витрати обліковуємо у суворій відповідності до бухгалтерського обліку.</w:t>
      </w:r>
    </w:p>
    <w:p w:rsidR="009F3626" w:rsidRPr="009F3626" w:rsidRDefault="009F3626" w:rsidP="009F3626">
      <w:pPr>
        <w:numPr>
          <w:ilvl w:val="0"/>
          <w:numId w:val="1"/>
        </w:numPr>
        <w:spacing w:before="150" w:after="150" w:line="240" w:lineRule="auto"/>
        <w:ind w:left="0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bdr w:val="none" w:sz="0" w:space="0" w:color="auto" w:frame="1"/>
          <w:shd w:val="clear" w:color="auto" w:fill="E6F9F2"/>
          <w:lang w:eastAsia="uk-UA"/>
        </w:rPr>
      </w:pPr>
      <w:r w:rsidRPr="009F3626">
        <w:rPr>
          <w:rFonts w:ascii="Helvetica" w:eastAsia="Times New Roman" w:hAnsi="Helvetica" w:cs="Helvetica"/>
          <w:color w:val="333333"/>
          <w:sz w:val="24"/>
          <w:szCs w:val="24"/>
          <w:bdr w:val="none" w:sz="0" w:space="0" w:color="auto" w:frame="1"/>
          <w:shd w:val="clear" w:color="auto" w:fill="E6F9F2"/>
          <w:lang w:eastAsia="uk-UA"/>
        </w:rPr>
        <w:t>Тендерні витрати безпосередньо пов’язані з витратами на збут і списуються на 93 рахунок у періоді їх фактичного здійснення.</w:t>
      </w:r>
    </w:p>
    <w:p w:rsidR="008414B1" w:rsidRDefault="009F3626"/>
    <w:p w:rsidR="009F3626" w:rsidRDefault="009F3626" w:rsidP="009F3626">
      <w:pPr>
        <w:pStyle w:val="1"/>
        <w:spacing w:before="0" w:line="600" w:lineRule="atLeast"/>
        <w:textAlignment w:val="baseline"/>
        <w:rPr>
          <w:color w:val="333333"/>
          <w:sz w:val="51"/>
          <w:szCs w:val="51"/>
        </w:rPr>
      </w:pPr>
      <w:r>
        <w:rPr>
          <w:b/>
          <w:bCs/>
          <w:color w:val="333333"/>
          <w:sz w:val="51"/>
          <w:szCs w:val="51"/>
        </w:rPr>
        <w:t>Обліковуємо витрати на тендер</w:t>
      </w:r>
    </w:p>
    <w:p w:rsidR="009F3626" w:rsidRDefault="009F3626" w:rsidP="009F3626">
      <w:pPr>
        <w:rPr>
          <w:sz w:val="24"/>
          <w:szCs w:val="24"/>
        </w:rPr>
      </w:pPr>
      <w:proofErr w:type="spellStart"/>
      <w:r>
        <w:rPr>
          <w:bdr w:val="none" w:sz="0" w:space="0" w:color="auto" w:frame="1"/>
        </w:rPr>
        <w:t>Альошкіна</w:t>
      </w:r>
      <w:proofErr w:type="spellEnd"/>
      <w:r>
        <w:rPr>
          <w:bdr w:val="none" w:sz="0" w:space="0" w:color="auto" w:frame="1"/>
        </w:rPr>
        <w:t xml:space="preserve"> Наталя, податковий експерт</w:t>
      </w:r>
    </w:p>
    <w:p w:rsidR="009F3626" w:rsidRDefault="009F3626" w:rsidP="009F3626">
      <w:pPr>
        <w:textAlignment w:val="baseline"/>
      </w:pPr>
      <w:hyperlink r:id="rId24" w:tooltip="Податки &amp; бухоблік № 37" w:history="1">
        <w:r>
          <w:rPr>
            <w:noProof/>
            <w:color w:val="0000FF"/>
            <w:bdr w:val="none" w:sz="0" w:space="0" w:color="auto" w:frame="1"/>
            <w:lang w:eastAsia="uk-UA"/>
          </w:rPr>
          <w:drawing>
            <wp:inline distT="0" distB="0" distL="0" distR="0">
              <wp:extent cx="281940" cy="281940"/>
              <wp:effectExtent l="0" t="0" r="3810" b="3810"/>
              <wp:docPr id="1" name="Рисунок 1" descr="logo journal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logo journal"/>
                      <pic:cNvPicPr>
                        <a:picLocks noChangeAspect="1" noChangeArrowheads="1"/>
                      </pic:cNvPicPr>
                    </pic:nvPicPr>
                    <pic:blipFill>
                      <a:blip r:embed="rId2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1940" cy="281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b-artjournal-title"/>
            <w:caps/>
            <w:color w:val="333333"/>
            <w:sz w:val="18"/>
            <w:szCs w:val="18"/>
            <w:bdr w:val="none" w:sz="0" w:space="0" w:color="auto" w:frame="1"/>
          </w:rPr>
          <w:t>Податки &amp; бухоблікТравень, 2018/№ 37</w:t>
        </w:r>
      </w:hyperlink>
    </w:p>
    <w:p w:rsidR="009F3626" w:rsidRDefault="009F3626">
      <w:bookmarkStart w:id="0" w:name="_GoBack"/>
      <w:bookmarkEnd w:id="0"/>
    </w:p>
    <w:p w:rsidR="009F3626" w:rsidRDefault="009F3626">
      <w:r w:rsidRPr="009F3626">
        <w:t>https://i.factor.ua/ukr/journals/nibu/2018/may/issue-37/article-36292.html</w:t>
      </w:r>
    </w:p>
    <w:sectPr w:rsidR="009F3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17F75"/>
    <w:multiLevelType w:val="multilevel"/>
    <w:tmpl w:val="D9AAE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626"/>
    <w:rsid w:val="001C294E"/>
    <w:rsid w:val="009F3626"/>
    <w:rsid w:val="00CF14A8"/>
    <w:rsid w:val="00E9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C7C68"/>
  <w15:chartTrackingRefBased/>
  <w15:docId w15:val="{DDA9E90A-FAB0-4830-821A-746A149F2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F36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9F36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9F36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F3626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9F3626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indent">
    <w:name w:val="indent"/>
    <w:basedOn w:val="a"/>
    <w:rsid w:val="009F3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Strong"/>
    <w:basedOn w:val="a0"/>
    <w:uiPriority w:val="22"/>
    <w:qFormat/>
    <w:rsid w:val="009F3626"/>
    <w:rPr>
      <w:b/>
      <w:bCs/>
    </w:rPr>
  </w:style>
  <w:style w:type="character" w:styleId="a4">
    <w:name w:val="Hyperlink"/>
    <w:basedOn w:val="a0"/>
    <w:uiPriority w:val="99"/>
    <w:semiHidden/>
    <w:unhideWhenUsed/>
    <w:rsid w:val="009F3626"/>
    <w:rPr>
      <w:color w:val="0000FF"/>
      <w:u w:val="single"/>
    </w:rPr>
  </w:style>
  <w:style w:type="paragraph" w:customStyle="1" w:styleId="footnote">
    <w:name w:val="footnote"/>
    <w:basedOn w:val="a"/>
    <w:rsid w:val="009F3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headingtab">
    <w:name w:val="heading_tab"/>
    <w:basedOn w:val="a"/>
    <w:rsid w:val="009F3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aligncenter">
    <w:name w:val="align_center"/>
    <w:basedOn w:val="a"/>
    <w:rsid w:val="009F3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alignleft">
    <w:name w:val="align_left"/>
    <w:basedOn w:val="a"/>
    <w:rsid w:val="009F3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9F36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-artjournal-title">
    <w:name w:val="b-art__journal-title"/>
    <w:basedOn w:val="a0"/>
    <w:rsid w:val="009F36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1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6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5.rada.gov.ua/laws/show/922-19" TargetMode="External"/><Relationship Id="rId13" Type="http://schemas.openxmlformats.org/officeDocument/2006/relationships/hyperlink" Target="http://zakon5.rada.gov.ua/laws/show/922-19" TargetMode="External"/><Relationship Id="rId18" Type="http://schemas.openxmlformats.org/officeDocument/2006/relationships/hyperlink" Target="http://zakon2.rada.gov.ua/laws/show/166-2016-%D0%BF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i.factor.ua/ukr/law-24/section-140/article-21421/" TargetMode="External"/><Relationship Id="rId7" Type="http://schemas.openxmlformats.org/officeDocument/2006/relationships/hyperlink" Target="http://zakon5.rada.gov.ua/laws/show/922-19" TargetMode="External"/><Relationship Id="rId12" Type="http://schemas.openxmlformats.org/officeDocument/2006/relationships/hyperlink" Target="http://zakon5.rada.gov.ua/laws/show/922-19" TargetMode="External"/><Relationship Id="rId17" Type="http://schemas.openxmlformats.org/officeDocument/2006/relationships/hyperlink" Target="https://i.factor.ua/ukr/law-96/section-548/article-11538/" TargetMode="External"/><Relationship Id="rId25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i.factor.ua/ukr/law-118/section-580/article-11646/" TargetMode="External"/><Relationship Id="rId20" Type="http://schemas.openxmlformats.org/officeDocument/2006/relationships/hyperlink" Target="https://i.factor.ua/ukr/law-24/section-517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zakon2.rada.gov.ua/laws/show/166-2016-%D0%BF" TargetMode="External"/><Relationship Id="rId11" Type="http://schemas.openxmlformats.org/officeDocument/2006/relationships/hyperlink" Target="http://zakon5.rada.gov.ua/laws/show/922-19" TargetMode="External"/><Relationship Id="rId24" Type="http://schemas.openxmlformats.org/officeDocument/2006/relationships/hyperlink" Target="https://i.factor.ua/ukr/journals/nibu/2018/may/issue-37/" TargetMode="External"/><Relationship Id="rId5" Type="http://schemas.openxmlformats.org/officeDocument/2006/relationships/hyperlink" Target="http://zakon2.rada.gov.ua/laws/show/166-2016-%D0%BF" TargetMode="External"/><Relationship Id="rId15" Type="http://schemas.openxmlformats.org/officeDocument/2006/relationships/hyperlink" Target="http://zakon5.rada.gov.ua/laws/show/922-19" TargetMode="External"/><Relationship Id="rId23" Type="http://schemas.openxmlformats.org/officeDocument/2006/relationships/hyperlink" Target="https://i.factor.ua/ukr/law-24/section-517/" TargetMode="External"/><Relationship Id="rId10" Type="http://schemas.openxmlformats.org/officeDocument/2006/relationships/hyperlink" Target="http://zakon2.rada.gov.ua/laws/show/166-2016-%D0%BF" TargetMode="External"/><Relationship Id="rId19" Type="http://schemas.openxmlformats.org/officeDocument/2006/relationships/hyperlink" Target="https://i.factor.ua/ukr/law-24/section-123/article-2089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akon2.rada.gov.ua/laws/show/166-2016-%D0%BF" TargetMode="External"/><Relationship Id="rId14" Type="http://schemas.openxmlformats.org/officeDocument/2006/relationships/hyperlink" Target="http://zakon5.rada.gov.ua/laws/show/922-19" TargetMode="External"/><Relationship Id="rId22" Type="http://schemas.openxmlformats.org/officeDocument/2006/relationships/hyperlink" Target="https://i.factor.ua/ukr/law-54/section-300/article-5769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8211</Words>
  <Characters>4681</Characters>
  <Application>Microsoft Office Word</Application>
  <DocSecurity>0</DocSecurity>
  <Lines>39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Professor</dc:creator>
  <cp:keywords/>
  <dc:description/>
  <cp:lastModifiedBy>Professor</cp:lastModifiedBy>
  <cp:revision>1</cp:revision>
  <dcterms:created xsi:type="dcterms:W3CDTF">2024-11-09T21:58:00Z</dcterms:created>
  <dcterms:modified xsi:type="dcterms:W3CDTF">2024-11-09T22:10:00Z</dcterms:modified>
</cp:coreProperties>
</file>