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F4CF">
      <w:pPr>
        <w:pStyle w:val="4"/>
        <w:keepNext w:val="0"/>
        <w:keepLines w:val="0"/>
        <w:kinsoku/>
        <w:topLinePunct w:val="0"/>
        <w:bidi w:val="0"/>
        <w:snapToGrid/>
        <w:spacing w:before="0" w:beforeAutospacing="0" w:after="0" w:afterAutospacing="0" w:line="240" w:lineRule="auto"/>
        <w:ind w:firstLine="99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Курс «Сучасна українська література» – важливий складник підготовки здобувачів освіти другого (магістерського) рівня, який знайомить із новітніми явищами національного письменства, формуючи цілісне уявлення про закономірності його розвитку в соціокультурному контексті України та світу. У центрі уваги дисципліни перебувають знакові художні явища та ключові постаті сучасної літератури, які визначають динаміку і напрями сучасного літературного процесу. Вивчення цих явищ дозволяє усвідомити багатовекторність розвитку літератури, її відкритість до міжкультурного діалогу, а також здатність реагувати на суспільно-політичні події, історичні трансформації та глобальні виклики сучасності.</w:t>
      </w:r>
    </w:p>
    <w:p w14:paraId="6D946C64">
      <w:pPr>
        <w:pStyle w:val="4"/>
        <w:keepNext w:val="0"/>
        <w:keepLines w:val="0"/>
        <w:kinsoku/>
        <w:topLinePunct w:val="0"/>
        <w:bidi w:val="0"/>
        <w:snapToGrid/>
        <w:spacing w:before="0" w:beforeAutospacing="0" w:after="0" w:afterAutospacing="0" w:line="240" w:lineRule="auto"/>
        <w:ind w:firstLine="99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Програма дисципліни передбачає осмислення літератури не як ізольованого феномену, а як живої системи, що перебуває у постійному взаємозв’язку з культурою, ідеологією, національною історією та духовним життям суспільства. Акцент робиться на аналізі розмаїття сучасних художніх практик. Водночас дисципліна передбачає ознайомлення з індивідуальними стилями провідних письменників, розкриття їхніх естетичних позицій, а також зіставлення різних критичних підходів до інтерпретації текстів.</w:t>
      </w:r>
    </w:p>
    <w:p w14:paraId="0432CBD7">
      <w:pPr>
        <w:keepNext w:val="0"/>
        <w:keepLines w:val="0"/>
        <w:kinsoku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Особливе значення має </w:t>
      </w:r>
      <w:r>
        <w:rPr>
          <w:rFonts w:ascii="Times New Roman" w:hAnsi="Times New Roman" w:cs="Times New Roman"/>
          <w:sz w:val="28"/>
          <w:szCs w:val="28"/>
          <w:lang w:val="uk-UA"/>
        </w:rPr>
        <w:t>поглиблення й шліфування вмінь 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 критичного та аналітичного мислення. Мет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курсу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полягає у </w:t>
      </w:r>
      <w:r>
        <w:rPr>
          <w:rFonts w:ascii="Times New Roman" w:hAnsi="Times New Roman" w:cs="Times New Roman"/>
          <w:sz w:val="28"/>
          <w:szCs w:val="28"/>
        </w:rPr>
        <w:t>вивченн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студентами сучасного українського літературного процесу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шляхом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отримання повноцінного уявлення про предмет курсу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його багатовимірність.</w:t>
      </w:r>
      <w:r>
        <w:rPr>
          <w:rFonts w:ascii="Times New Roman" w:hAnsi="Times New Roman" w:cs="Times New Roman"/>
          <w:sz w:val="28"/>
          <w:szCs w:val="28"/>
        </w:rPr>
        <w:t xml:space="preserve"> Структура курсу визначається науковими вимогами,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сприяють фаховому осягненню </w:t>
      </w:r>
      <w:r>
        <w:rPr>
          <w:rFonts w:ascii="Times New Roman" w:hAnsi="Times New Roman" w:cs="Times New Roman"/>
          <w:sz w:val="28"/>
          <w:szCs w:val="28"/>
        </w:rPr>
        <w:t>закономірност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 xml:space="preserve">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сучасного літературного процесу,</w:t>
      </w:r>
      <w:r>
        <w:rPr>
          <w:rFonts w:ascii="Times New Roman" w:hAnsi="Times New Roman" w:cs="Times New Roman"/>
          <w:sz w:val="28"/>
          <w:szCs w:val="28"/>
        </w:rPr>
        <w:t xml:space="preserve"> осмисленн</w:t>
      </w:r>
      <w:r>
        <w:rPr>
          <w:rFonts w:ascii="Times New Roman" w:hAnsi="Times New Roman" w:cs="Times New Roman"/>
          <w:sz w:val="28"/>
          <w:szCs w:val="28"/>
          <w:lang w:val="uk-UA"/>
        </w:rPr>
        <w:t>ю його</w:t>
      </w:r>
      <w:r>
        <w:rPr>
          <w:rFonts w:ascii="Times New Roman" w:hAnsi="Times New Roman" w:cs="Times New Roman"/>
          <w:sz w:val="28"/>
          <w:szCs w:val="28"/>
        </w:rPr>
        <w:t xml:space="preserve"> літератур</w:t>
      </w:r>
      <w:r>
        <w:rPr>
          <w:rFonts w:ascii="Times New Roman" w:hAnsi="Times New Roman" w:cs="Times New Roman"/>
          <w:sz w:val="28"/>
          <w:szCs w:val="28"/>
          <w:lang w:val="uk-UA"/>
        </w:rPr>
        <w:t>них надбань</w:t>
      </w:r>
      <w:r>
        <w:rPr>
          <w:rFonts w:ascii="Times New Roman" w:hAnsi="Times New Roman" w:cs="Times New Roman"/>
          <w:sz w:val="28"/>
          <w:szCs w:val="28"/>
        </w:rPr>
        <w:t>, ї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ідейно-естетичної специфіки, загальних напрямків розвитку і певних літературних явищ, світоглядних і художньо-естетичних орієнтирів представників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сучасного</w:t>
      </w:r>
      <w:r>
        <w:rPr>
          <w:rFonts w:ascii="Times New Roman" w:hAnsi="Times New Roman" w:cs="Times New Roman"/>
          <w:sz w:val="28"/>
          <w:szCs w:val="28"/>
        </w:rPr>
        <w:t xml:space="preserve"> мистецтва слова. </w:t>
      </w:r>
      <w:r>
        <w:rPr>
          <w:rFonts w:ascii="Times New Roman" w:hAnsi="Times New Roman" w:cs="Times New Roman"/>
          <w:iCs/>
          <w:sz w:val="28"/>
          <w:szCs w:val="28"/>
        </w:rPr>
        <w:t xml:space="preserve">Глибоке, аналітичне читання художніх творів сприятиме розвитку затребуваних роботодавцями фахових і «м’яких» навичок, як розуміння змістів складних повідомлень та критичне мислення. </w:t>
      </w:r>
    </w:p>
    <w:p w14:paraId="20F0AED6">
      <w:pPr>
        <w:pStyle w:val="4"/>
        <w:keepNext w:val="0"/>
        <w:keepLines w:val="0"/>
        <w:kinsoku/>
        <w:topLinePunct w:val="0"/>
        <w:bidi w:val="0"/>
        <w:snapToGrid/>
        <w:spacing w:before="0" w:beforeAutospacing="0" w:after="0" w:afterAutospacing="0" w:line="240" w:lineRule="auto"/>
        <w:ind w:firstLine="99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Важливим результатом засвоєння курсу є формування низки загальних і фахових компетентностей. Студенти удосконалюють умінням працювати з різними джерелами (від класичних монографій до сучасних цифрових баз даних), аналітично осмислювати наукову інформацію, критично її інтерпретувати, формуючи власну дослідницьку позицію. У професійному вимірі курс допомагає майбутнім філологам орієнтуватися в складних процесах новітньої літератури, використовувати її здобутки у майбутній професійній діяльності..</w:t>
      </w:r>
    </w:p>
    <w:p w14:paraId="0ED56FDB">
      <w:pPr>
        <w:pStyle w:val="4"/>
        <w:keepNext w:val="0"/>
        <w:keepLines w:val="0"/>
        <w:kinsoku/>
        <w:topLinePunct w:val="0"/>
        <w:bidi w:val="0"/>
        <w:snapToGrid/>
        <w:spacing w:before="0" w:beforeAutospacing="0" w:after="0" w:afterAutospacing="0" w:line="240" w:lineRule="auto"/>
        <w:ind w:firstLine="99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Аналітичний підхід передбачає також осмислення співвідношення між українською та світовою літературою. Сучасна українська словесність постає як частина глобального літературного процесу, де національна ідентичність поєднується з універсальними художніми тенденціями. </w:t>
      </w:r>
    </w:p>
    <w:p w14:paraId="010FBBB1">
      <w:pPr>
        <w:pStyle w:val="4"/>
        <w:keepNext w:val="0"/>
        <w:keepLines w:val="0"/>
        <w:kinsoku/>
        <w:topLinePunct w:val="0"/>
        <w:bidi w:val="0"/>
        <w:snapToGrid/>
        <w:spacing w:before="0" w:beforeAutospacing="0" w:after="0" w:afterAutospacing="0" w:line="240" w:lineRule="auto"/>
        <w:ind w:firstLine="99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Система практичних занять у поєднанні з самостійною та індивідуальною роботою студентів становить ключовий компонент опанування курсу «Сучасна українська література». Такий підхід забезпечує глибше й багатопланове засвоєння навчального матеріалу: від первинного ознайомлення з текстом – до його критичного осмислення, порівняльного аналізу й формування власної інтерпретаційної позиції. </w:t>
      </w:r>
    </w:p>
    <w:p w14:paraId="0FA9E495">
      <w:pPr>
        <w:pStyle w:val="4"/>
        <w:keepNext w:val="0"/>
        <w:keepLines w:val="0"/>
        <w:kinsoku/>
        <w:topLinePunct w:val="0"/>
        <w:bidi w:val="0"/>
        <w:snapToGrid/>
        <w:spacing w:before="0" w:beforeAutospacing="0" w:after="0" w:afterAutospacing="0" w:line="240" w:lineRule="auto"/>
        <w:ind w:firstLine="99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Практичні заняття мають на меті не лише закріплення лекційного матеріалу, а й розширення інтелектуального горизонту студентів через самостійне опрацювання художніх творів та літературознавчих джерел. Відповідаючи на питання плану заняття, студент повинен продемонструвати:</w:t>
      </w:r>
    </w:p>
    <w:p w14:paraId="7218949B">
      <w:pPr>
        <w:pStyle w:val="4"/>
        <w:keepNext w:val="0"/>
        <w:keepLines w:val="0"/>
        <w:numPr>
          <w:ilvl w:val="0"/>
          <w:numId w:val="1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ґрунтовне знання художніх текстів і розуміння їхньої етико-естетичної цілісності, жанрово-тематичної специфіки, композиційної структури, поетики, образної системи та мовно-стильових особливостей;</w:t>
      </w:r>
    </w:p>
    <w:p w14:paraId="69E2DD48">
      <w:pPr>
        <w:pStyle w:val="4"/>
        <w:keepNext w:val="0"/>
        <w:keepLines w:val="0"/>
        <w:numPr>
          <w:ilvl w:val="0"/>
          <w:numId w:val="1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володіння основами теорії літератури;</w:t>
      </w:r>
    </w:p>
    <w:p w14:paraId="6E640084">
      <w:pPr>
        <w:pStyle w:val="4"/>
        <w:keepNext w:val="0"/>
        <w:keepLines w:val="0"/>
        <w:numPr>
          <w:ilvl w:val="0"/>
          <w:numId w:val="1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здатність аналізувати один і той самий твір із позицій різних літературознавчих і філософських методологій;</w:t>
      </w:r>
    </w:p>
    <w:p w14:paraId="28A5320D">
      <w:pPr>
        <w:pStyle w:val="4"/>
        <w:keepNext w:val="0"/>
        <w:keepLines w:val="0"/>
        <w:numPr>
          <w:ilvl w:val="0"/>
          <w:numId w:val="1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усвідомлення національної специфіки й художньої самобутності української літератури;</w:t>
      </w:r>
    </w:p>
    <w:p w14:paraId="0472B4B2">
      <w:pPr>
        <w:pStyle w:val="4"/>
        <w:keepNext w:val="0"/>
        <w:keepLines w:val="0"/>
        <w:numPr>
          <w:ilvl w:val="0"/>
          <w:numId w:val="1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уміння залучати ширший літературний контекст, проводити міжтекстові паралелі та зіставлення з іншими явищами українського й зарубіжного письменства;</w:t>
      </w:r>
    </w:p>
    <w:p w14:paraId="4103E927">
      <w:pPr>
        <w:pStyle w:val="4"/>
        <w:keepNext w:val="0"/>
        <w:keepLines w:val="0"/>
        <w:numPr>
          <w:ilvl w:val="0"/>
          <w:numId w:val="1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дотримання норм сучасної української літературної мови.</w:t>
      </w:r>
    </w:p>
    <w:p w14:paraId="0C6ADABB">
      <w:pPr>
        <w:pStyle w:val="4"/>
        <w:keepNext w:val="0"/>
        <w:keepLines w:val="0"/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Самостійна робота студентів виступає логічним продовженням практичних занять і передбачає:</w:t>
      </w:r>
    </w:p>
    <w:p w14:paraId="410E1BAA">
      <w:pPr>
        <w:pStyle w:val="4"/>
        <w:keepNext w:val="0"/>
        <w:keepLines w:val="0"/>
        <w:numPr>
          <w:ilvl w:val="0"/>
          <w:numId w:val="2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підготовку відповідей на теоретичні питання за допомогою навчальної літератури;</w:t>
      </w:r>
    </w:p>
    <w:p w14:paraId="5B4635F8">
      <w:pPr>
        <w:pStyle w:val="4"/>
        <w:keepNext w:val="0"/>
        <w:keepLines w:val="0"/>
        <w:numPr>
          <w:ilvl w:val="0"/>
          <w:numId w:val="2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виконання письмових завдань різного типу, визначених у планах занять;</w:t>
      </w:r>
    </w:p>
    <w:p w14:paraId="10D12472">
      <w:pPr>
        <w:pStyle w:val="4"/>
        <w:keepNext w:val="0"/>
        <w:keepLines w:val="0"/>
        <w:numPr>
          <w:ilvl w:val="0"/>
          <w:numId w:val="2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опрацювання рекомендованих і самостійно підібраних  наукових і критичних джерел, що дозволяє зіставити різні інтерпретаційні підходи до творчості письменників та виробити власну оцінку художнього доробку.</w:t>
      </w:r>
    </w:p>
    <w:p w14:paraId="30ADEC0B">
      <w:pPr>
        <w:pStyle w:val="4"/>
        <w:keepNext w:val="0"/>
        <w:keepLines w:val="0"/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Таким чином, самостійна робота не обмежується механічним засвоєнням матеріалу, а спрямована на формування індивідуального дослідницького бачення й розширення науково-критичного поля мислення.</w:t>
      </w:r>
    </w:p>
    <w:p w14:paraId="70036BFA">
      <w:pPr>
        <w:keepNext w:val="0"/>
        <w:keepLines w:val="0"/>
        <w:kinsoku/>
        <w:topLinePunct w:val="0"/>
        <w:bidi w:val="0"/>
        <w:snapToGrid/>
        <w:spacing w:after="0" w:line="240" w:lineRule="auto"/>
        <w:ind w:right="34" w:firstLine="739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підсумками вивчення курсу «Сучасна українська літератури» студенти мають знати:</w:t>
      </w:r>
    </w:p>
    <w:p w14:paraId="1F7AA08C">
      <w:pPr>
        <w:pStyle w:val="4"/>
        <w:keepNext w:val="0"/>
        <w:keepLines w:val="0"/>
        <w:numPr>
          <w:ilvl w:val="0"/>
          <w:numId w:val="3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творчий шлях українських письменників початку ХХІ століття, зміст їхніх художніх творів, визначених для програмного опрацювання;</w:t>
      </w:r>
    </w:p>
    <w:p w14:paraId="3767B0F5">
      <w:pPr>
        <w:pStyle w:val="4"/>
        <w:keepNext w:val="0"/>
        <w:keepLines w:val="0"/>
        <w:numPr>
          <w:ilvl w:val="0"/>
          <w:numId w:val="3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провідну проблематику й тематичні домінанти сучасної української літератури;</w:t>
      </w:r>
    </w:p>
    <w:p w14:paraId="16AADB9C">
      <w:pPr>
        <w:pStyle w:val="4"/>
        <w:keepNext w:val="0"/>
        <w:keepLines w:val="0"/>
        <w:numPr>
          <w:ilvl w:val="0"/>
          <w:numId w:val="3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основні напрями сучасних літературознавчих досліджень, їхні концептуальні засади та методології;</w:t>
      </w:r>
    </w:p>
    <w:p w14:paraId="73E3293A">
      <w:pPr>
        <w:pStyle w:val="4"/>
        <w:keepNext w:val="0"/>
        <w:keepLines w:val="0"/>
        <w:numPr>
          <w:ilvl w:val="0"/>
          <w:numId w:val="3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ключові наукові праці відомих літературознавців, присвячені дослідженню творчості авторів нового тисячоліття та актуальним тенденціям українського письменства.</w:t>
      </w:r>
    </w:p>
    <w:p w14:paraId="45EE940D">
      <w:pPr>
        <w:pStyle w:val="7"/>
        <w:keepNext w:val="0"/>
        <w:keepLines w:val="0"/>
        <w:kinsoku/>
        <w:topLinePunct w:val="0"/>
        <w:bidi w:val="0"/>
        <w:snapToGrid/>
        <w:spacing w:after="0" w:line="240" w:lineRule="auto"/>
        <w:ind w:right="34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вивчення курсу студенти повинні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вміти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75710B1">
      <w:pPr>
        <w:pStyle w:val="4"/>
        <w:keepNext w:val="0"/>
        <w:keepLines w:val="0"/>
        <w:numPr>
          <w:ilvl w:val="0"/>
          <w:numId w:val="4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здійснювати аналіз сучасних творів різних родів і жанрів, ї розкривати їх специфіку в заданому аспекті;</w:t>
      </w:r>
    </w:p>
    <w:p w14:paraId="0FF28588">
      <w:pPr>
        <w:pStyle w:val="4"/>
        <w:keepNext w:val="0"/>
        <w:keepLines w:val="0"/>
        <w:numPr>
          <w:ilvl w:val="0"/>
          <w:numId w:val="4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визначати й інтерпретувати естетичні особливості художніх текстів у контексті загального літературного процесу;</w:t>
      </w:r>
    </w:p>
    <w:p w14:paraId="384A7215">
      <w:pPr>
        <w:pStyle w:val="4"/>
        <w:keepNext w:val="0"/>
        <w:keepLines w:val="0"/>
        <w:numPr>
          <w:ilvl w:val="0"/>
          <w:numId w:val="4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характеризувати індивідуальний стиль письменника, його творчий метод, провідні світоглядні й естетичні орієнтири;</w:t>
      </w:r>
    </w:p>
    <w:p w14:paraId="25F20AA2">
      <w:pPr>
        <w:pStyle w:val="4"/>
        <w:keepNext w:val="0"/>
        <w:keepLines w:val="0"/>
        <w:numPr>
          <w:ilvl w:val="0"/>
          <w:numId w:val="4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систематизувати літературні факти та явища, розглядати їх у широкому національному й світовому культурному контексті;</w:t>
      </w:r>
    </w:p>
    <w:p w14:paraId="5DC7E718">
      <w:pPr>
        <w:pStyle w:val="4"/>
        <w:keepNext w:val="0"/>
        <w:keepLines w:val="0"/>
        <w:numPr>
          <w:ilvl w:val="0"/>
          <w:numId w:val="4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здійснювати як письмовий, так і усний аналіз творів сучасної літератури, аргументовано висловлювати й захищати власну інтерпретаційну позицію;</w:t>
      </w:r>
    </w:p>
    <w:p w14:paraId="4D6DAEBE">
      <w:pPr>
        <w:pStyle w:val="4"/>
        <w:keepNext w:val="0"/>
        <w:keepLines w:val="0"/>
        <w:numPr>
          <w:ilvl w:val="0"/>
          <w:numId w:val="4"/>
        </w:numPr>
        <w:kinsoku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застосовувати сучасні літературознавчі підходи для критичного осмислення художнього тексту й формування науково обґрунтованих висновків.</w:t>
      </w:r>
    </w:p>
    <w:p w14:paraId="4A55E033">
      <w:pPr>
        <w:keepNext w:val="0"/>
        <w:keepLines w:val="0"/>
        <w:kinsoku/>
        <w:topLinePunct w:val="0"/>
        <w:bidi w:val="0"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Згідно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вимогами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освітньої-професійної програми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здобувачі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освіти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повинні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досягти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таких компетентностей</w:t>
      </w:r>
      <w:r>
        <w:rPr>
          <w:rFonts w:ascii="Times New Roman" w:hAnsi="Times New Roman"/>
          <w:sz w:val="28"/>
          <w:szCs w:val="28"/>
          <w:lang w:val="uk-UA"/>
        </w:rPr>
        <w:t xml:space="preserve"> і результатів навчання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62"/>
      </w:tblGrid>
      <w:tr w14:paraId="28C9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1018E06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3F413221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розв’язувати складні задачі і проблеми в галузі лінгвістики, літературознавства, фольклористики,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14:paraId="6259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8BFAC4A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325BBDFD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-111"/>
              <w:jc w:val="both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Здатність до пошуку, опрацювання та аналізу інформації з різних джерел.</w:t>
            </w:r>
          </w:p>
        </w:tc>
      </w:tr>
      <w:tr w14:paraId="7EA3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6A2261B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22E37988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Здатність до абстрактного мислення, аналізу та синтезу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14:paraId="637B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A3B4A4E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54E3A246">
            <w:pPr>
              <w:pStyle w:val="4"/>
              <w:keepNext w:val="0"/>
              <w:keepLines w:val="0"/>
              <w:kinsoku/>
              <w:topLinePunct w:val="0"/>
              <w:bidi w:val="0"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Здатність осмислювати літературу як полісистему, розуміти еволюційний шлях розвитку вітчизняного і світового літературознатва. </w:t>
            </w:r>
          </w:p>
        </w:tc>
      </w:tr>
      <w:tr w14:paraId="1E2A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88A694F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20B7F67E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критично осмислювати історичні надбання та новітні досягнення філологічної науки.</w:t>
            </w:r>
          </w:p>
        </w:tc>
      </w:tr>
      <w:tr w14:paraId="1DD2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0549550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70DD8A38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uk-UA"/>
              </w:rPr>
              <w:t>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14:paraId="6248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E06BC87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6CE133FE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Здатність вільно користуватися спеціальною термінологією в обраній галузі філологічних досліджень.</w:t>
            </w:r>
          </w:p>
        </w:tc>
      </w:tr>
      <w:tr w14:paraId="79A3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244B9DB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703FAB60">
            <w:pPr>
              <w:pStyle w:val="6"/>
              <w:keepNext w:val="0"/>
              <w:keepLines w:val="0"/>
              <w:kinsoku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szCs w:val="28"/>
                <w:highlight w:val="none"/>
                <w:lang w:val="uk-UA"/>
              </w:rPr>
              <w:t xml:space="preserve">Оцінювати історичні надбання та новітні досягнення літературознавства. </w:t>
            </w:r>
          </w:p>
        </w:tc>
      </w:tr>
      <w:tr w14:paraId="4277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6818672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75B7FE53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</w:t>
            </w:r>
          </w:p>
        </w:tc>
      </w:tr>
      <w:tr w14:paraId="27E1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97C304C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664D78CA">
            <w:pPr>
              <w:pStyle w:val="6"/>
              <w:keepNext w:val="0"/>
              <w:keepLines w:val="0"/>
              <w:kinsoku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Дотримуватися правил академічної доброчесності. </w:t>
            </w:r>
          </w:p>
        </w:tc>
      </w:tr>
      <w:tr w14:paraId="7BA1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1C335B1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19F3A248">
            <w:pPr>
              <w:pStyle w:val="6"/>
              <w:keepNext w:val="0"/>
              <w:keepLines w:val="0"/>
              <w:kinsoku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 </w:t>
            </w:r>
          </w:p>
        </w:tc>
      </w:tr>
      <w:tr w14:paraId="533F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916201A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1D4632CD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Обирати оптимальні дослідницькі підходи й методи для аналізу конкретного лінгвістичного чи літературного матеріалу.</w:t>
            </w:r>
          </w:p>
        </w:tc>
      </w:tr>
      <w:tr w14:paraId="1A2D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E1414AA">
            <w:pPr>
              <w:keepNext w:val="0"/>
              <w:keepLines w:val="0"/>
              <w:kinsoku/>
              <w:topLinePunct w:val="0"/>
              <w:bidi w:val="0"/>
              <w:snapToGrid/>
              <w:spacing w:after="0" w:line="240" w:lineRule="auto"/>
              <w:ind w:right="36" w:rightChars="15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8562" w:type="dxa"/>
          </w:tcPr>
          <w:p w14:paraId="6919BD8D">
            <w:pPr>
              <w:pStyle w:val="6"/>
              <w:keepNext w:val="0"/>
              <w:keepLines w:val="0"/>
              <w:kinsoku/>
              <w:topLinePunct w:val="0"/>
              <w:bidi w:val="0"/>
              <w:snapToGrid/>
              <w:spacing w:line="240" w:lineRule="auto"/>
              <w:ind w:right="-253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  <w:t>Безперервний саморозвиток та самовдосконалення протягом життя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7508A4C">
      <w:pPr>
        <w:pStyle w:val="6"/>
        <w:keepNext w:val="0"/>
        <w:keepLines w:val="0"/>
        <w:kinsoku/>
        <w:topLinePunct w:val="0"/>
        <w:bidi w:val="0"/>
        <w:snapToGrid/>
        <w:spacing w:line="240" w:lineRule="auto"/>
        <w:ind w:right="-110"/>
        <w:jc w:val="both"/>
        <w:textAlignment w:val="auto"/>
        <w:rPr>
          <w:sz w:val="28"/>
          <w:szCs w:val="28"/>
          <w:lang w:val="uk-UA"/>
        </w:rPr>
      </w:pPr>
    </w:p>
    <w:p w14:paraId="39E726BB">
      <w:pPr>
        <w:rPr>
          <w:lang w:eastAsia="en-US"/>
        </w:rPr>
      </w:pPr>
      <w:bookmarkStart w:id="0" w:name="_GoBack"/>
      <w:bookmarkEnd w:id="0"/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roid Sans Fallback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71170"/>
    <w:multiLevelType w:val="multilevel"/>
    <w:tmpl w:val="55B711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BBB34E3"/>
    <w:multiLevelType w:val="multilevel"/>
    <w:tmpl w:val="6BBB34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9D40B9C"/>
    <w:multiLevelType w:val="multilevel"/>
    <w:tmpl w:val="79D40B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F0A7F81"/>
    <w:multiLevelType w:val="multilevel"/>
    <w:tmpl w:val="7F0A7F81"/>
    <w:lvl w:ilvl="0" w:tentative="0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07"/>
    <w:rsid w:val="0024629C"/>
    <w:rsid w:val="002E3F6B"/>
    <w:rsid w:val="00E50E07"/>
    <w:rsid w:val="38D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Liberation Serif" w:hAnsi="Liberation Serif" w:eastAsia="Droid Sans Fallback" w:cs="FreeSans"/>
      <w:kern w:val="2"/>
      <w:sz w:val="24"/>
      <w:szCs w:val="24"/>
      <w:lang w:val="uk-UA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359</Words>
  <Characters>2051</Characters>
  <Lines>17</Lines>
  <Paragraphs>4</Paragraphs>
  <TotalTime>0</TotalTime>
  <ScaleCrop>false</ScaleCrop>
  <LinksUpToDate>false</LinksUpToDate>
  <CharactersWithSpaces>2406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2025-02-11T11:35:00Z</dcterms:created>
  <dc:creator>Valentina</dc:creator>
  <cp:lastModifiedBy>Валентина Нікол�</cp:lastModifiedBy>
  <dcterms:modified xsi:type="dcterms:W3CDTF">2025-11-11T17:02:38Z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9CCA0582E1D74AFEAB183D8D41E70CC5_12</vt:lpwstr>
  </property>
</Properties>
</file>