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7CD2" w14:textId="6B7D444D" w:rsidR="00DA3E3B" w:rsidRPr="00C769FF" w:rsidRDefault="002454AD" w:rsidP="00AF5CAD">
      <w:pPr>
        <w:spacing w:after="0" w:line="240" w:lineRule="auto"/>
        <w:jc w:val="center"/>
        <w:rPr>
          <w:rFonts w:ascii="Times New Roman" w:hAnsi="Times New Roman"/>
          <w:b/>
          <w:sz w:val="24"/>
          <w:szCs w:val="24"/>
          <w:lang w:val="uk-UA"/>
        </w:rPr>
      </w:pPr>
      <w:r w:rsidRPr="00C769FF">
        <w:rPr>
          <w:rFonts w:ascii="Times New Roman" w:hAnsi="Times New Roman"/>
          <w:b/>
          <w:sz w:val="24"/>
          <w:szCs w:val="24"/>
          <w:lang w:val="uk-UA"/>
        </w:rPr>
        <w:t>Тема 2. ДЖЕРЕЛЬНА БАЗА ІСТОРІЇ ПОВСЯКДЕННОСТІ</w:t>
      </w:r>
    </w:p>
    <w:p w14:paraId="569AECB5" w14:textId="77777777" w:rsidR="00DA3E3B" w:rsidRPr="00C769FF" w:rsidRDefault="00DA3E3B" w:rsidP="00AF5CAD">
      <w:pPr>
        <w:spacing w:after="0" w:line="240" w:lineRule="auto"/>
        <w:jc w:val="both"/>
        <w:rPr>
          <w:rFonts w:ascii="Times New Roman" w:hAnsi="Times New Roman"/>
          <w:sz w:val="24"/>
          <w:szCs w:val="24"/>
          <w:lang w:val="uk-UA"/>
        </w:rPr>
      </w:pPr>
    </w:p>
    <w:p w14:paraId="067D5FAE" w14:textId="77777777" w:rsidR="004E3CCF" w:rsidRPr="00C769FF" w:rsidRDefault="004E3CCF" w:rsidP="00AF5CAD">
      <w:pPr>
        <w:spacing w:after="0" w:line="240" w:lineRule="auto"/>
        <w:jc w:val="center"/>
        <w:rPr>
          <w:rFonts w:ascii="Times New Roman" w:hAnsi="Times New Roman"/>
          <w:b/>
          <w:bCs/>
          <w:sz w:val="24"/>
          <w:szCs w:val="24"/>
          <w:lang w:val="uk-UA"/>
        </w:rPr>
      </w:pPr>
      <w:r w:rsidRPr="00C769FF">
        <w:rPr>
          <w:rFonts w:ascii="Times New Roman" w:hAnsi="Times New Roman"/>
          <w:b/>
          <w:bCs/>
          <w:sz w:val="24"/>
          <w:szCs w:val="24"/>
          <w:lang w:val="uk-UA"/>
        </w:rPr>
        <w:t>План</w:t>
      </w:r>
    </w:p>
    <w:p w14:paraId="15E515E0" w14:textId="566CAD6B" w:rsidR="004E3CCF" w:rsidRPr="00C769FF" w:rsidRDefault="004E3CCF" w:rsidP="00AF5CAD">
      <w:pPr>
        <w:spacing w:after="0" w:line="240" w:lineRule="auto"/>
        <w:ind w:left="3119"/>
        <w:jc w:val="both"/>
        <w:rPr>
          <w:rFonts w:ascii="Times New Roman" w:hAnsi="Times New Roman"/>
          <w:sz w:val="24"/>
          <w:szCs w:val="24"/>
          <w:lang w:val="uk-UA"/>
        </w:rPr>
      </w:pPr>
      <w:r w:rsidRPr="00C769FF">
        <w:rPr>
          <w:rFonts w:ascii="Times New Roman" w:hAnsi="Times New Roman"/>
          <w:sz w:val="24"/>
          <w:szCs w:val="24"/>
          <w:lang w:val="uk-UA"/>
        </w:rPr>
        <w:t>1. Джерела особового походження.</w:t>
      </w:r>
    </w:p>
    <w:p w14:paraId="6AA06B5F" w14:textId="6C52AE0E" w:rsidR="004E3CCF" w:rsidRPr="00C769FF" w:rsidRDefault="004E3CCF" w:rsidP="00AF5CAD">
      <w:pPr>
        <w:spacing w:after="0" w:line="240" w:lineRule="auto"/>
        <w:ind w:left="3119"/>
        <w:jc w:val="both"/>
        <w:rPr>
          <w:rFonts w:ascii="Times New Roman" w:hAnsi="Times New Roman"/>
          <w:sz w:val="24"/>
          <w:szCs w:val="24"/>
          <w:lang w:val="uk-UA"/>
        </w:rPr>
      </w:pPr>
      <w:r w:rsidRPr="00C769FF">
        <w:rPr>
          <w:rFonts w:ascii="Times New Roman" w:hAnsi="Times New Roman"/>
          <w:sz w:val="24"/>
          <w:szCs w:val="24"/>
          <w:lang w:val="uk-UA"/>
        </w:rPr>
        <w:t>2. Наративи.</w:t>
      </w:r>
    </w:p>
    <w:p w14:paraId="129CEA65" w14:textId="0BB7F10B" w:rsidR="004E3CCF" w:rsidRPr="00C769FF" w:rsidRDefault="004E3CCF" w:rsidP="00AF5CAD">
      <w:pPr>
        <w:spacing w:after="0" w:line="240" w:lineRule="auto"/>
        <w:ind w:left="3119"/>
        <w:jc w:val="both"/>
        <w:rPr>
          <w:rFonts w:ascii="Times New Roman" w:hAnsi="Times New Roman"/>
          <w:sz w:val="24"/>
          <w:szCs w:val="24"/>
          <w:lang w:val="uk-UA"/>
        </w:rPr>
      </w:pPr>
      <w:r w:rsidRPr="00C769FF">
        <w:rPr>
          <w:rFonts w:ascii="Times New Roman" w:hAnsi="Times New Roman"/>
          <w:sz w:val="24"/>
          <w:szCs w:val="24"/>
          <w:lang w:val="uk-UA"/>
        </w:rPr>
        <w:t>3. Судові справи.</w:t>
      </w:r>
    </w:p>
    <w:p w14:paraId="08FA46C0" w14:textId="105F640B" w:rsidR="004E3CCF" w:rsidRPr="00C769FF" w:rsidRDefault="004E3CCF" w:rsidP="00AF5CAD">
      <w:pPr>
        <w:spacing w:after="0" w:line="240" w:lineRule="auto"/>
        <w:ind w:left="3119"/>
        <w:jc w:val="both"/>
        <w:rPr>
          <w:rFonts w:ascii="Times New Roman" w:hAnsi="Times New Roman"/>
          <w:sz w:val="24"/>
          <w:szCs w:val="24"/>
          <w:lang w:val="uk-UA"/>
        </w:rPr>
      </w:pPr>
      <w:r w:rsidRPr="00C769FF">
        <w:rPr>
          <w:rFonts w:ascii="Times New Roman" w:hAnsi="Times New Roman"/>
          <w:sz w:val="24"/>
          <w:szCs w:val="24"/>
          <w:lang w:val="uk-UA"/>
        </w:rPr>
        <w:t>4. Донесення спецслужб.</w:t>
      </w:r>
    </w:p>
    <w:p w14:paraId="60ADB893" w14:textId="438C903C" w:rsidR="004E3CCF" w:rsidRPr="00C769FF" w:rsidRDefault="004E3CCF" w:rsidP="00AF5CAD">
      <w:pPr>
        <w:spacing w:after="0" w:line="240" w:lineRule="auto"/>
        <w:ind w:left="3119"/>
        <w:jc w:val="both"/>
        <w:rPr>
          <w:rFonts w:ascii="Times New Roman" w:hAnsi="Times New Roman"/>
          <w:sz w:val="24"/>
          <w:szCs w:val="24"/>
          <w:lang w:val="uk-UA"/>
        </w:rPr>
      </w:pPr>
      <w:r w:rsidRPr="00C769FF">
        <w:rPr>
          <w:rFonts w:ascii="Times New Roman" w:hAnsi="Times New Roman"/>
          <w:sz w:val="24"/>
          <w:szCs w:val="24"/>
          <w:lang w:val="uk-UA"/>
        </w:rPr>
        <w:t>5. Візуальні свідчення.</w:t>
      </w:r>
    </w:p>
    <w:p w14:paraId="62577ACE" w14:textId="77777777" w:rsidR="00BE0322" w:rsidRPr="00C769FF" w:rsidRDefault="00BE0322" w:rsidP="00AF5CAD">
      <w:pPr>
        <w:spacing w:after="0" w:line="240" w:lineRule="auto"/>
        <w:jc w:val="both"/>
        <w:rPr>
          <w:rFonts w:ascii="Times New Roman" w:hAnsi="Times New Roman"/>
          <w:sz w:val="24"/>
          <w:szCs w:val="24"/>
          <w:lang w:val="uk-UA"/>
        </w:rPr>
      </w:pPr>
    </w:p>
    <w:p w14:paraId="044A5118" w14:textId="0DD96740" w:rsidR="004E3CCF" w:rsidRPr="00C769FF" w:rsidRDefault="004E3CCF" w:rsidP="00AF5CAD">
      <w:pPr>
        <w:spacing w:after="0" w:line="240" w:lineRule="auto"/>
        <w:jc w:val="center"/>
        <w:rPr>
          <w:rFonts w:ascii="Times New Roman" w:hAnsi="Times New Roman"/>
          <w:sz w:val="24"/>
          <w:szCs w:val="24"/>
          <w:lang w:val="uk-UA"/>
        </w:rPr>
      </w:pPr>
      <w:r w:rsidRPr="00C769FF">
        <w:rPr>
          <w:rFonts w:ascii="Times New Roman" w:hAnsi="Times New Roman"/>
          <w:b/>
          <w:bCs/>
          <w:sz w:val="24"/>
          <w:szCs w:val="24"/>
          <w:lang w:val="uk-UA"/>
        </w:rPr>
        <w:t>Література</w:t>
      </w:r>
    </w:p>
    <w:p w14:paraId="5E5C04AF" w14:textId="77777777" w:rsidR="00BE0322" w:rsidRPr="00C769FF" w:rsidRDefault="00BE0322" w:rsidP="00AF5CAD">
      <w:pPr>
        <w:suppressAutoHyphens/>
        <w:spacing w:after="0" w:line="240" w:lineRule="auto"/>
        <w:ind w:firstLine="709"/>
        <w:jc w:val="both"/>
        <w:rPr>
          <w:rFonts w:ascii="Times New Roman" w:hAnsi="Times New Roman"/>
          <w:sz w:val="24"/>
          <w:szCs w:val="24"/>
          <w:lang w:val="uk-UA"/>
        </w:rPr>
      </w:pPr>
      <w:bookmarkStart w:id="0" w:name="_Hlk144884344"/>
      <w:r w:rsidRPr="00C769FF">
        <w:rPr>
          <w:rFonts w:ascii="Times New Roman" w:hAnsi="Times New Roman"/>
          <w:sz w:val="24"/>
          <w:szCs w:val="24"/>
          <w:lang w:val="uk-UA"/>
        </w:rPr>
        <w:t xml:space="preserve">Лях С.Р. Сучасні технології історичного дослідження: канони і імпровізації. Zaporizhzhia Historical Review, 2021. Vol. 5(57). P.9–20. </w:t>
      </w:r>
    </w:p>
    <w:p w14:paraId="27BF1AEB" w14:textId="77777777" w:rsidR="00BE0322" w:rsidRPr="00C769FF" w:rsidRDefault="00BE0322" w:rsidP="00AF5CAD">
      <w:pPr>
        <w:widowControl w:val="0"/>
        <w:suppressAutoHyphens/>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eastAsia="ru-UA"/>
        </w:rPr>
        <w:t xml:space="preserve">Лях С. Українське село напередодні катастрофи: епістолярний автопортрет (1926–1928 рр.). </w:t>
      </w:r>
      <w:r w:rsidRPr="00C769FF">
        <w:rPr>
          <w:rFonts w:ascii="Times New Roman" w:hAnsi="Times New Roman"/>
          <w:i/>
          <w:iCs/>
          <w:sz w:val="24"/>
          <w:szCs w:val="24"/>
          <w:lang w:val="uk-UA" w:eastAsia="ru-UA"/>
        </w:rPr>
        <w:t>Емінак. Науковий щоквартальник</w:t>
      </w:r>
      <w:r w:rsidRPr="00C769FF">
        <w:rPr>
          <w:rFonts w:ascii="Times New Roman" w:hAnsi="Times New Roman"/>
          <w:sz w:val="24"/>
          <w:szCs w:val="24"/>
          <w:lang w:val="uk-UA" w:eastAsia="ru-UA"/>
        </w:rPr>
        <w:t>. 2023. №3. С.221–238.</w:t>
      </w:r>
    </w:p>
    <w:p w14:paraId="39EC1EF3" w14:textId="77777777" w:rsidR="00BE0322" w:rsidRPr="00C769FF" w:rsidRDefault="00BE0322" w:rsidP="00AF5CAD">
      <w:pPr>
        <w:widowControl w:val="0"/>
        <w:suppressAutoHyphens/>
        <w:spacing w:after="0" w:line="240" w:lineRule="auto"/>
        <w:ind w:firstLine="851"/>
        <w:jc w:val="both"/>
        <w:rPr>
          <w:rFonts w:ascii="Times New Roman" w:hAnsi="Times New Roman"/>
          <w:sz w:val="24"/>
          <w:szCs w:val="24"/>
          <w:shd w:val="clear" w:color="auto" w:fill="FDFCFC"/>
          <w:lang w:val="uk-UA"/>
        </w:rPr>
      </w:pPr>
      <w:r w:rsidRPr="00C769FF">
        <w:rPr>
          <w:rFonts w:ascii="Times New Roman" w:hAnsi="Times New Roman"/>
          <w:sz w:val="24"/>
          <w:szCs w:val="24"/>
          <w:shd w:val="clear" w:color="auto" w:fill="FDFCFC"/>
          <w:lang w:val="uk-UA"/>
        </w:rPr>
        <w:t xml:space="preserve">Стратегії та ритуали конфлікту: шляхетський соціум Волині зламу XVI і XVII ст. Джерела та інтерпретації / Упоряд. Н.П.Старченко. Київ: Інститут історії України, 2020. 615 с. URL: </w:t>
      </w:r>
      <w:r w:rsidRPr="00C769FF">
        <w:rPr>
          <w:rFonts w:ascii="Times New Roman" w:hAnsi="Times New Roman"/>
          <w:sz w:val="24"/>
          <w:szCs w:val="24"/>
          <w:lang w:val="uk-UA"/>
        </w:rPr>
        <w:t>URL: </w:t>
      </w:r>
      <w:hyperlink r:id="rId7" w:history="1">
        <w:r w:rsidRPr="00C769FF">
          <w:rPr>
            <w:rStyle w:val="a6"/>
            <w:rFonts w:ascii="Times New Roman" w:hAnsi="Times New Roman"/>
            <w:sz w:val="24"/>
            <w:szCs w:val="24"/>
            <w:lang w:val="uk-UA"/>
          </w:rPr>
          <w:t>http://files.znu.edu.ua/files/Bibliobooks/Inshi73/0054202.pdf</w:t>
        </w:r>
      </w:hyperlink>
    </w:p>
    <w:p w14:paraId="76342281" w14:textId="77777777" w:rsidR="00037160" w:rsidRPr="00C769FF" w:rsidRDefault="00037160" w:rsidP="00AF5CAD">
      <w:pPr>
        <w:spacing w:after="0" w:line="240" w:lineRule="auto"/>
        <w:ind w:firstLine="709"/>
        <w:jc w:val="both"/>
        <w:outlineLvl w:val="0"/>
        <w:rPr>
          <w:rFonts w:ascii="Times New Roman" w:hAnsi="Times New Roman"/>
          <w:sz w:val="24"/>
          <w:szCs w:val="24"/>
          <w:lang w:val="uk-UA"/>
        </w:rPr>
      </w:pPr>
      <w:r w:rsidRPr="00C769FF">
        <w:rPr>
          <w:rFonts w:ascii="Times New Roman" w:hAnsi="Times New Roman"/>
          <w:sz w:val="24"/>
          <w:szCs w:val="24"/>
          <w:lang w:val="uk-UA"/>
        </w:rPr>
        <w:t xml:space="preserve">Мороз П., Мороз І. </w:t>
      </w:r>
      <w:r w:rsidRPr="00C769FF">
        <w:rPr>
          <w:rFonts w:ascii="Times New Roman" w:eastAsia="Times New Roman" w:hAnsi="Times New Roman"/>
          <w:color w:val="000000"/>
          <w:kern w:val="36"/>
          <w:sz w:val="24"/>
          <w:szCs w:val="24"/>
          <w:lang w:val="uk-UA" w:eastAsia="uk-UA"/>
        </w:rPr>
        <w:t xml:space="preserve">Інтегрування історії повсякденності у шкільний курс історії: дослідницький аспект. Проблеми сучасного підручника. 2023. №30. С.86–100. </w:t>
      </w:r>
      <w:r w:rsidRPr="00C769FF">
        <w:rPr>
          <w:rFonts w:ascii="Times New Roman" w:hAnsi="Times New Roman"/>
          <w:sz w:val="24"/>
          <w:szCs w:val="24"/>
          <w:lang w:val="uk-UA"/>
        </w:rPr>
        <w:t xml:space="preserve">URL: </w:t>
      </w:r>
      <w:hyperlink r:id="rId8" w:history="1">
        <w:r w:rsidRPr="00C769FF">
          <w:rPr>
            <w:rStyle w:val="a6"/>
            <w:rFonts w:ascii="Times New Roman" w:hAnsi="Times New Roman"/>
            <w:sz w:val="24"/>
            <w:szCs w:val="24"/>
            <w:lang w:val="uk-UA"/>
          </w:rPr>
          <w:t>https://ipvid.org.ua/index.php/psp/article/view/676</w:t>
        </w:r>
      </w:hyperlink>
    </w:p>
    <w:bookmarkEnd w:id="0"/>
    <w:p w14:paraId="0CA6AD52" w14:textId="77777777" w:rsidR="00037160" w:rsidRPr="00C769FF" w:rsidRDefault="00037160" w:rsidP="00AF5CAD">
      <w:p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 xml:space="preserve">Диса К. Історія повсякденного життя в ранньомодерній Європі. Київ, 2014. 129 с. URL: </w:t>
      </w:r>
      <w:hyperlink r:id="rId9" w:history="1">
        <w:r w:rsidRPr="00C769FF">
          <w:rPr>
            <w:rStyle w:val="a6"/>
            <w:rFonts w:ascii="Times New Roman" w:hAnsi="Times New Roman"/>
            <w:sz w:val="24"/>
            <w:szCs w:val="24"/>
            <w:lang w:val="uk-UA"/>
          </w:rPr>
          <w:t>https://shron1.chtyvo.org.ua/Dysa_Kateryna/Istoriia_povsiakdennoho_zhyttia_v_rannomodernii_Yevropi.pdf</w:t>
        </w:r>
      </w:hyperlink>
      <w:r w:rsidRPr="00C769FF">
        <w:rPr>
          <w:rFonts w:ascii="Times New Roman" w:hAnsi="Times New Roman"/>
          <w:sz w:val="24"/>
          <w:szCs w:val="24"/>
          <w:lang w:val="uk-UA"/>
        </w:rPr>
        <w:t>?</w:t>
      </w:r>
    </w:p>
    <w:p w14:paraId="2BA5D457" w14:textId="51A944CC" w:rsidR="000C5A4B" w:rsidRPr="00C769FF" w:rsidRDefault="000C5A4B" w:rsidP="00AF5CAD">
      <w:pPr>
        <w:pStyle w:val="a9"/>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 xml:space="preserve">Сердюк І. Маленький дорослий: Дитина й дитинство в Гетьманщині XVIII ст. Київ: К.І.С., 2018. </w:t>
      </w:r>
      <w:r w:rsidRPr="00C769FF">
        <w:rPr>
          <w:rFonts w:ascii="Times New Roman" w:hAnsi="Times New Roman"/>
          <w:sz w:val="24"/>
          <w:szCs w:val="24"/>
          <w:shd w:val="clear" w:color="auto" w:fill="FDFCFC"/>
          <w:lang w:val="uk-UA"/>
        </w:rPr>
        <w:t>Таїрова-Яковлева Т. Повсякдення, дозвілля і традиції козацької еліти Гетьманщини. Київ: TOB «Видавництво "КЛІО"», 2017.</w:t>
      </w:r>
    </w:p>
    <w:p w14:paraId="131D5E2A" w14:textId="77777777" w:rsidR="00037160" w:rsidRPr="00C769FF" w:rsidRDefault="00037160" w:rsidP="00AF5CAD">
      <w:p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 xml:space="preserve">Roche, Daniel. A History of Everyday Things: The birth of consumption in France, 1600–1800. Camdridg: Univerity Press, 2000. URL: </w:t>
      </w:r>
      <w:hyperlink r:id="rId10" w:anchor="v=onepage&amp;q&amp;f=false" w:history="1">
        <w:r w:rsidRPr="00C769FF">
          <w:rPr>
            <w:rStyle w:val="a6"/>
            <w:rFonts w:ascii="Times New Roman" w:hAnsi="Times New Roman"/>
            <w:sz w:val="24"/>
            <w:szCs w:val="24"/>
            <w:lang w:val="uk-UA"/>
          </w:rPr>
          <w:t>https://books.google.de/books?id=g14uija4vtgC&amp;printsec=frontcover&amp;hl=ru#v=onepage&amp;q&amp;f=false</w:t>
        </w:r>
      </w:hyperlink>
    </w:p>
    <w:p w14:paraId="5C10F34B" w14:textId="77777777" w:rsidR="00DA3E3B" w:rsidRPr="00C769FF" w:rsidRDefault="00DA3E3B" w:rsidP="00AF5CAD">
      <w:pPr>
        <w:spacing w:after="0" w:line="240" w:lineRule="auto"/>
        <w:jc w:val="both"/>
        <w:rPr>
          <w:rFonts w:ascii="Times New Roman" w:hAnsi="Times New Roman"/>
          <w:sz w:val="24"/>
          <w:szCs w:val="24"/>
          <w:lang w:val="uk-UA"/>
        </w:rPr>
      </w:pPr>
    </w:p>
    <w:p w14:paraId="71E36D39" w14:textId="4A540037" w:rsidR="00AF5CAD" w:rsidRPr="00C769FF" w:rsidRDefault="00AF5CAD" w:rsidP="00AF5CAD">
      <w:pPr>
        <w:spacing w:after="0" w:line="240" w:lineRule="auto"/>
        <w:jc w:val="both"/>
        <w:rPr>
          <w:rFonts w:ascii="Times New Roman" w:hAnsi="Times New Roman"/>
          <w:b/>
          <w:bCs/>
          <w:sz w:val="24"/>
          <w:szCs w:val="24"/>
          <w:lang w:val="uk-UA"/>
        </w:rPr>
      </w:pPr>
      <w:r w:rsidRPr="00C769FF">
        <w:rPr>
          <w:rFonts w:ascii="Times New Roman" w:hAnsi="Times New Roman"/>
          <w:b/>
          <w:bCs/>
          <w:sz w:val="24"/>
          <w:szCs w:val="24"/>
          <w:lang w:val="uk-UA"/>
        </w:rPr>
        <w:t>Настанови на дискусію</w:t>
      </w:r>
    </w:p>
    <w:p w14:paraId="25E4F9B6" w14:textId="77777777" w:rsidR="00AF5CAD" w:rsidRPr="00C769FF" w:rsidRDefault="00AF5CAD" w:rsidP="00AF5CAD">
      <w:pPr>
        <w:spacing w:after="0" w:line="240" w:lineRule="auto"/>
        <w:ind w:firstLine="709"/>
        <w:rPr>
          <w:rFonts w:ascii="Times New Roman" w:hAnsi="Times New Roman"/>
          <w:sz w:val="24"/>
          <w:szCs w:val="24"/>
          <w:lang w:val="uk-UA"/>
        </w:rPr>
      </w:pPr>
      <w:r w:rsidRPr="00C769FF">
        <w:rPr>
          <w:rFonts w:ascii="Times New Roman" w:hAnsi="Times New Roman"/>
          <w:sz w:val="24"/>
          <w:szCs w:val="24"/>
          <w:lang w:val="uk-UA"/>
        </w:rPr>
        <w:t>Маркерами, які дозволяють безпомилково упізнати історію повсякденності, є такі її категорії:</w:t>
      </w:r>
    </w:p>
    <w:p w14:paraId="5C4C8273" w14:textId="77777777" w:rsidR="00AF5CAD" w:rsidRPr="00C769FF" w:rsidRDefault="00AF5CAD" w:rsidP="00AF5CAD">
      <w:pPr>
        <w:pStyle w:val="a5"/>
        <w:numPr>
          <w:ilvl w:val="0"/>
          <w:numId w:val="4"/>
        </w:numPr>
        <w:spacing w:after="0" w:line="240" w:lineRule="auto"/>
        <w:ind w:firstLine="709"/>
        <w:rPr>
          <w:rFonts w:ascii="Times New Roman" w:hAnsi="Times New Roman"/>
          <w:sz w:val="24"/>
          <w:szCs w:val="24"/>
          <w:lang w:val="uk-UA"/>
        </w:rPr>
      </w:pPr>
      <w:r w:rsidRPr="00C769FF">
        <w:rPr>
          <w:rFonts w:ascii="Times New Roman" w:hAnsi="Times New Roman"/>
          <w:sz w:val="24"/>
          <w:szCs w:val="24"/>
          <w:lang w:val="uk-UA"/>
        </w:rPr>
        <w:t>«життєві світи»;</w:t>
      </w:r>
    </w:p>
    <w:p w14:paraId="7E354C9E" w14:textId="77777777" w:rsidR="00AF5CAD" w:rsidRPr="00C769FF" w:rsidRDefault="00AF5CAD" w:rsidP="00AF5CAD">
      <w:pPr>
        <w:pStyle w:val="a5"/>
        <w:numPr>
          <w:ilvl w:val="0"/>
          <w:numId w:val="4"/>
        </w:numPr>
        <w:spacing w:after="0" w:line="240" w:lineRule="auto"/>
        <w:ind w:firstLine="709"/>
        <w:rPr>
          <w:rFonts w:ascii="Times New Roman" w:hAnsi="Times New Roman"/>
          <w:sz w:val="24"/>
          <w:szCs w:val="24"/>
          <w:lang w:val="uk-UA"/>
        </w:rPr>
      </w:pPr>
      <w:r w:rsidRPr="00C769FF">
        <w:rPr>
          <w:rFonts w:ascii="Times New Roman" w:hAnsi="Times New Roman"/>
          <w:sz w:val="24"/>
          <w:szCs w:val="24"/>
          <w:lang w:val="uk-UA"/>
        </w:rPr>
        <w:t>«стиль життя»;</w:t>
      </w:r>
    </w:p>
    <w:p w14:paraId="5DC9373E" w14:textId="77777777" w:rsidR="00AF5CAD" w:rsidRPr="00C769FF" w:rsidRDefault="00AF5CAD" w:rsidP="00AF5CAD">
      <w:pPr>
        <w:pStyle w:val="a5"/>
        <w:numPr>
          <w:ilvl w:val="0"/>
          <w:numId w:val="4"/>
        </w:numPr>
        <w:spacing w:after="0" w:line="240" w:lineRule="auto"/>
        <w:ind w:firstLine="709"/>
        <w:rPr>
          <w:rFonts w:ascii="Times New Roman" w:hAnsi="Times New Roman"/>
          <w:sz w:val="24"/>
          <w:szCs w:val="24"/>
          <w:lang w:val="uk-UA"/>
        </w:rPr>
      </w:pPr>
      <w:r w:rsidRPr="00C769FF">
        <w:rPr>
          <w:rFonts w:ascii="Times New Roman" w:hAnsi="Times New Roman"/>
          <w:sz w:val="24"/>
          <w:szCs w:val="24"/>
          <w:lang w:val="uk-UA"/>
        </w:rPr>
        <w:t>спосіб життя;</w:t>
      </w:r>
    </w:p>
    <w:p w14:paraId="0B592A75" w14:textId="77777777" w:rsidR="00AF5CAD" w:rsidRPr="00C769FF" w:rsidRDefault="00AF5CAD" w:rsidP="00AF5CAD">
      <w:pPr>
        <w:pStyle w:val="a5"/>
        <w:numPr>
          <w:ilvl w:val="0"/>
          <w:numId w:val="4"/>
        </w:numPr>
        <w:spacing w:after="0" w:line="240" w:lineRule="auto"/>
        <w:ind w:firstLine="709"/>
        <w:rPr>
          <w:rFonts w:ascii="Times New Roman" w:hAnsi="Times New Roman"/>
          <w:sz w:val="24"/>
          <w:szCs w:val="24"/>
          <w:lang w:val="uk-UA"/>
        </w:rPr>
      </w:pPr>
      <w:r w:rsidRPr="00C769FF">
        <w:rPr>
          <w:rFonts w:ascii="Times New Roman" w:hAnsi="Times New Roman"/>
          <w:sz w:val="24"/>
          <w:szCs w:val="24"/>
          <w:lang w:val="uk-UA"/>
        </w:rPr>
        <w:t>«життєві стратегії»;</w:t>
      </w:r>
    </w:p>
    <w:p w14:paraId="76BE7150" w14:textId="77777777" w:rsidR="00AF5CAD" w:rsidRPr="00C769FF" w:rsidRDefault="00AF5CAD" w:rsidP="00AF5CAD">
      <w:pPr>
        <w:pStyle w:val="a5"/>
        <w:numPr>
          <w:ilvl w:val="0"/>
          <w:numId w:val="4"/>
        </w:numPr>
        <w:spacing w:after="0" w:line="240" w:lineRule="auto"/>
        <w:ind w:firstLine="709"/>
        <w:rPr>
          <w:rFonts w:ascii="Times New Roman" w:hAnsi="Times New Roman"/>
          <w:sz w:val="24"/>
          <w:szCs w:val="24"/>
          <w:lang w:val="uk-UA"/>
        </w:rPr>
      </w:pPr>
      <w:r w:rsidRPr="00C769FF">
        <w:rPr>
          <w:rFonts w:ascii="Times New Roman" w:hAnsi="Times New Roman"/>
          <w:sz w:val="24"/>
          <w:szCs w:val="24"/>
          <w:lang w:val="uk-UA"/>
        </w:rPr>
        <w:t>«стратегії виживання»;</w:t>
      </w:r>
    </w:p>
    <w:p w14:paraId="030E0DB7" w14:textId="77777777" w:rsidR="00AF5CAD" w:rsidRPr="00C769FF" w:rsidRDefault="00AF5CAD" w:rsidP="00AF5CAD">
      <w:pPr>
        <w:pStyle w:val="a5"/>
        <w:numPr>
          <w:ilvl w:val="0"/>
          <w:numId w:val="4"/>
        </w:numPr>
        <w:spacing w:after="0" w:line="240" w:lineRule="auto"/>
        <w:ind w:firstLine="709"/>
        <w:rPr>
          <w:rFonts w:ascii="Times New Roman" w:hAnsi="Times New Roman"/>
          <w:sz w:val="24"/>
          <w:szCs w:val="24"/>
          <w:lang w:val="uk-UA"/>
        </w:rPr>
      </w:pPr>
      <w:r w:rsidRPr="00C769FF">
        <w:rPr>
          <w:rFonts w:ascii="Times New Roman" w:hAnsi="Times New Roman"/>
          <w:sz w:val="24"/>
          <w:szCs w:val="24"/>
          <w:lang w:val="uk-UA"/>
        </w:rPr>
        <w:t>«практики споживання»;</w:t>
      </w:r>
    </w:p>
    <w:p w14:paraId="4D30DE80" w14:textId="77777777" w:rsidR="00AF5CAD" w:rsidRPr="00C769FF" w:rsidRDefault="00AF5CAD" w:rsidP="00AF5CAD">
      <w:pPr>
        <w:pStyle w:val="a5"/>
        <w:numPr>
          <w:ilvl w:val="0"/>
          <w:numId w:val="4"/>
        </w:numPr>
        <w:spacing w:after="0" w:line="240" w:lineRule="auto"/>
        <w:ind w:firstLine="709"/>
        <w:rPr>
          <w:rFonts w:ascii="Times New Roman" w:hAnsi="Times New Roman"/>
          <w:sz w:val="24"/>
          <w:szCs w:val="24"/>
          <w:lang w:val="uk-UA"/>
        </w:rPr>
      </w:pPr>
      <w:r w:rsidRPr="00C769FF">
        <w:rPr>
          <w:rFonts w:ascii="Times New Roman" w:hAnsi="Times New Roman"/>
          <w:sz w:val="24"/>
          <w:szCs w:val="24"/>
          <w:lang w:val="uk-UA"/>
        </w:rPr>
        <w:t>«техніки тіла»;</w:t>
      </w:r>
    </w:p>
    <w:p w14:paraId="66D4B71B" w14:textId="77777777" w:rsidR="00AF5CAD" w:rsidRPr="00C769FF" w:rsidRDefault="00AF5CAD" w:rsidP="00AF5CAD">
      <w:pPr>
        <w:pStyle w:val="a5"/>
        <w:numPr>
          <w:ilvl w:val="0"/>
          <w:numId w:val="4"/>
        </w:numPr>
        <w:spacing w:after="0" w:line="240" w:lineRule="auto"/>
        <w:ind w:firstLine="709"/>
        <w:rPr>
          <w:rFonts w:ascii="Times New Roman" w:hAnsi="Times New Roman"/>
          <w:sz w:val="24"/>
          <w:szCs w:val="24"/>
          <w:lang w:val="uk-UA"/>
        </w:rPr>
      </w:pPr>
      <w:r w:rsidRPr="00C769FF">
        <w:rPr>
          <w:rFonts w:ascii="Times New Roman" w:hAnsi="Times New Roman"/>
          <w:sz w:val="24"/>
          <w:szCs w:val="24"/>
          <w:lang w:val="uk-UA"/>
        </w:rPr>
        <w:t>«політичний ритуал».</w:t>
      </w:r>
    </w:p>
    <w:p w14:paraId="471187B0" w14:textId="77777777" w:rsidR="00AF5CAD" w:rsidRPr="00C769FF" w:rsidRDefault="00AF5CAD" w:rsidP="00AF5CAD">
      <w:pPr>
        <w:spacing w:after="0" w:line="240" w:lineRule="auto"/>
        <w:ind w:firstLine="709"/>
        <w:rPr>
          <w:rFonts w:ascii="Times New Roman" w:hAnsi="Times New Roman"/>
          <w:sz w:val="24"/>
          <w:szCs w:val="24"/>
          <w:lang w:val="uk-UA"/>
        </w:rPr>
      </w:pPr>
      <w:r w:rsidRPr="00C769FF">
        <w:rPr>
          <w:rFonts w:ascii="Times New Roman" w:hAnsi="Times New Roman"/>
          <w:sz w:val="24"/>
          <w:szCs w:val="24"/>
          <w:lang w:val="uk-UA"/>
        </w:rPr>
        <w:t>Специфічною також є джерельна база історії повсякденності.</w:t>
      </w:r>
    </w:p>
    <w:p w14:paraId="068F3F76" w14:textId="77777777" w:rsidR="00AF5CAD" w:rsidRPr="00C769FF" w:rsidRDefault="00AF5CAD" w:rsidP="00AF5CAD">
      <w:p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Повсякденна історія в основному стосується тих, хто залишив мало джерел у традиційному розумінні. Рідко можна знайти листи чи інші письмові документи, які були підготовлені самими постраждалими</w:t>
      </w:r>
    </w:p>
    <w:p w14:paraId="40824126" w14:textId="77777777" w:rsidR="00AF5CAD" w:rsidRPr="00C769FF" w:rsidRDefault="00AF5CAD" w:rsidP="00AF5CAD">
      <w:p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Звіти поліції чи торгових інспекторів, шкільних рад чи пасторів, а також листи, (подорожні) нотатки та візуальні свідчення від віддалених або лише зрідка «бере участь» спостерігачів пропонують різноманітну інформацію:</w:t>
      </w:r>
    </w:p>
    <w:p w14:paraId="600A19E2" w14:textId="77777777" w:rsidR="00AF5CAD" w:rsidRPr="00C769FF" w:rsidRDefault="00AF5CAD" w:rsidP="00AF5CAD">
      <w:pPr>
        <w:pStyle w:val="a5"/>
        <w:numPr>
          <w:ilvl w:val="0"/>
          <w:numId w:val="5"/>
        </w:num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Судові справи.</w:t>
      </w:r>
    </w:p>
    <w:p w14:paraId="7E8FCD16" w14:textId="77777777" w:rsidR="00AF5CAD" w:rsidRPr="00C769FF" w:rsidRDefault="00AF5CAD" w:rsidP="00AF5CAD">
      <w:pPr>
        <w:pStyle w:val="a5"/>
        <w:numPr>
          <w:ilvl w:val="0"/>
          <w:numId w:val="5"/>
        </w:num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Зведення агентів НКВД.</w:t>
      </w:r>
    </w:p>
    <w:p w14:paraId="6DBBCAF6" w14:textId="77777777" w:rsidR="00AF5CAD" w:rsidRPr="00C769FF" w:rsidRDefault="00AF5CAD" w:rsidP="00AF5CAD">
      <w:pPr>
        <w:pStyle w:val="a5"/>
        <w:numPr>
          <w:ilvl w:val="0"/>
          <w:numId w:val="5"/>
        </w:num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lastRenderedPageBreak/>
        <w:t>Іконографія.</w:t>
      </w:r>
    </w:p>
    <w:p w14:paraId="586636E0" w14:textId="77777777" w:rsidR="00AF5CAD" w:rsidRPr="00C769FF" w:rsidRDefault="00AF5CAD" w:rsidP="00AF5CAD">
      <w:p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Нарешті, специфіка історії повсякденності базується на специфічних її методах:</w:t>
      </w:r>
    </w:p>
    <w:p w14:paraId="645424C9" w14:textId="77777777" w:rsidR="00AF5CAD" w:rsidRPr="00C769FF" w:rsidRDefault="00AF5CAD" w:rsidP="00AF5CAD">
      <w:pPr>
        <w:pStyle w:val="a5"/>
        <w:numPr>
          <w:ilvl w:val="0"/>
          <w:numId w:val="6"/>
        </w:num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Етнографічний метод.</w:t>
      </w:r>
    </w:p>
    <w:p w14:paraId="0B142510" w14:textId="77777777" w:rsidR="00AF5CAD" w:rsidRPr="00C769FF" w:rsidRDefault="00AF5CAD" w:rsidP="00AF5CAD">
      <w:pPr>
        <w:pStyle w:val="a5"/>
        <w:numPr>
          <w:ilvl w:val="0"/>
          <w:numId w:val="6"/>
        </w:numPr>
        <w:spacing w:after="0" w:line="240" w:lineRule="auto"/>
        <w:ind w:firstLine="709"/>
        <w:rPr>
          <w:rFonts w:ascii="Times New Roman" w:hAnsi="Times New Roman"/>
          <w:sz w:val="24"/>
          <w:szCs w:val="24"/>
          <w:lang w:val="uk-UA"/>
        </w:rPr>
      </w:pPr>
      <w:r w:rsidRPr="00C769FF">
        <w:rPr>
          <w:rFonts w:ascii="Times New Roman" w:hAnsi="Times New Roman"/>
          <w:sz w:val="24"/>
          <w:szCs w:val="24"/>
          <w:lang w:val="uk-UA"/>
        </w:rPr>
        <w:t>Мікроісторія.</w:t>
      </w:r>
    </w:p>
    <w:p w14:paraId="1EDE9BD3" w14:textId="77777777" w:rsidR="00AF5CAD" w:rsidRPr="00C769FF" w:rsidRDefault="00AF5CAD" w:rsidP="00AF5CAD">
      <w:pPr>
        <w:pStyle w:val="a5"/>
        <w:numPr>
          <w:ilvl w:val="0"/>
          <w:numId w:val="6"/>
        </w:numPr>
        <w:spacing w:after="0" w:line="240" w:lineRule="auto"/>
        <w:ind w:firstLine="709"/>
        <w:rPr>
          <w:rFonts w:ascii="Times New Roman" w:hAnsi="Times New Roman"/>
          <w:sz w:val="24"/>
          <w:szCs w:val="24"/>
          <w:lang w:val="uk-UA"/>
        </w:rPr>
      </w:pPr>
      <w:r w:rsidRPr="00C769FF">
        <w:rPr>
          <w:rFonts w:ascii="Times New Roman" w:hAnsi="Times New Roman"/>
          <w:sz w:val="24"/>
          <w:szCs w:val="24"/>
          <w:lang w:val="uk-UA"/>
        </w:rPr>
        <w:t>Усна історія.</w:t>
      </w:r>
    </w:p>
    <w:p w14:paraId="5D0CAC4A" w14:textId="77777777" w:rsidR="00AF5CAD" w:rsidRPr="00C769FF" w:rsidRDefault="00AF5CAD" w:rsidP="00AF5CAD">
      <w:pPr>
        <w:pStyle w:val="a5"/>
        <w:numPr>
          <w:ilvl w:val="0"/>
          <w:numId w:val="6"/>
        </w:numPr>
        <w:spacing w:after="0" w:line="240" w:lineRule="auto"/>
        <w:ind w:firstLine="709"/>
        <w:rPr>
          <w:rFonts w:ascii="Times New Roman" w:hAnsi="Times New Roman"/>
          <w:sz w:val="24"/>
          <w:szCs w:val="24"/>
          <w:lang w:val="uk-UA"/>
        </w:rPr>
      </w:pPr>
      <w:r w:rsidRPr="00C769FF">
        <w:rPr>
          <w:rFonts w:ascii="Times New Roman" w:hAnsi="Times New Roman"/>
          <w:sz w:val="24"/>
          <w:szCs w:val="24"/>
          <w:lang w:val="uk-UA"/>
        </w:rPr>
        <w:t>«Насичений опис».</w:t>
      </w:r>
    </w:p>
    <w:p w14:paraId="573D4A7F" w14:textId="77777777" w:rsidR="008F7449" w:rsidRPr="00C769FF" w:rsidRDefault="008F7449" w:rsidP="00AF5CAD">
      <w:p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Джерельна база дослідження І.Сердюка складається переважно з текстів, які здатні щедро постачати матеріал для історії повсякденності. Це щоденники гетьманської старшини та «автобіографічні твори «місцевого» походження», приватне листування, судові справи.</w:t>
      </w:r>
    </w:p>
    <w:p w14:paraId="50DF25A6" w14:textId="7B61E1AD" w:rsidR="008F7449" w:rsidRPr="00C769FF" w:rsidRDefault="008F7449" w:rsidP="00AF5CAD">
      <w:p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Автор зазначає: «У дослідженнях життя простолюду ранньомодерної України історик часто мусить іти за джерелами, що занадто налаштовує на увагу саме до казусних випадків». Судові справи – матеріал похмурий. І неминуче їх похмура тінь падає на всю оповідь історика. Але воно того варте: «Судові справи містять цінні обмовки та подробиці, котрі інколи не стосуються самого казусу, а відображають елементи повсякдення, емоційну сферу, матеріальну культуру». Автор від початку зауважує, що «окремі судові справи мають істотний потенціал для антропологічного прочитання»</w:t>
      </w:r>
    </w:p>
    <w:p w14:paraId="4487D0E6" w14:textId="7E396844" w:rsidR="008F7449" w:rsidRPr="00C769FF" w:rsidRDefault="008F7449" w:rsidP="00AF5CAD">
      <w:p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 xml:space="preserve">Монографія Романа Любавського є послідовним і виразним випадком застосування технік історії повсякденності. Мало того, що її автор категорію повсякденності виносить на титул своєї книги. Він спеціально формулює низку зауважень з приводу методологічних особливостей цієї сучасної технології, а також він реально </w:t>
      </w:r>
      <w:r w:rsidRPr="00C769FF">
        <w:rPr>
          <w:rFonts w:ascii="Times New Roman" w:hAnsi="Times New Roman"/>
          <w:sz w:val="24"/>
          <w:szCs w:val="24"/>
          <w:u w:val="single"/>
          <w:lang w:val="uk-UA"/>
        </w:rPr>
        <w:t>пише</w:t>
      </w:r>
      <w:r w:rsidRPr="00C769FF">
        <w:rPr>
          <w:rFonts w:ascii="Times New Roman" w:hAnsi="Times New Roman"/>
          <w:sz w:val="24"/>
          <w:szCs w:val="24"/>
          <w:lang w:val="uk-UA"/>
        </w:rPr>
        <w:t xml:space="preserve"> історію повсякденності індустріального Харкова 1920–30-х років. Нарешті, Р.Любавський є свідомим того, </w:t>
      </w:r>
      <w:r w:rsidRPr="00C769FF">
        <w:rPr>
          <w:rFonts w:ascii="Times New Roman" w:hAnsi="Times New Roman"/>
          <w:sz w:val="24"/>
          <w:szCs w:val="24"/>
          <w:u w:val="single"/>
          <w:lang w:val="uk-UA"/>
        </w:rPr>
        <w:t>як не слід</w:t>
      </w:r>
      <w:r w:rsidRPr="00C769FF">
        <w:rPr>
          <w:rFonts w:ascii="Times New Roman" w:hAnsi="Times New Roman"/>
          <w:sz w:val="24"/>
          <w:szCs w:val="24"/>
          <w:lang w:val="uk-UA"/>
        </w:rPr>
        <w:t xml:space="preserve"> чинити; він зауважує, що часто історики лише імітують «нову для українського співтовариства істориків методологію». </w:t>
      </w:r>
    </w:p>
    <w:p w14:paraId="4314C1EB" w14:textId="77777777" w:rsidR="008F7449" w:rsidRPr="00C769FF" w:rsidRDefault="008F7449" w:rsidP="00AF5CAD">
      <w:p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Сюжети і положення монографії Р.Любавського взяті із мікроісторичної документальної рутини. Автор терпляче вишуковує крихти інформації в скромних і непоказних маргінальних джерелах: це протоколи засідань комісій зі встановлення умов проживання робітників; складені профспілковими комітетами списки претендентів на житло; протоколи засідань фабрично-заводських комітетів; матеріали обстежень санітарно-технічного стану підприємств; листування відділів охорони праці з центральними урядовими установами; заяви та листи робітників до місцевих органів влади; акти обстеження бараків, їдалень, побутових приміщень інспекторами різноманітних структур; матеріали обстежень робітничих клубів; листи до редакцій газет; спогади харків’ян.</w:t>
      </w:r>
    </w:p>
    <w:p w14:paraId="0E60242C" w14:textId="77777777" w:rsidR="008F7449" w:rsidRPr="00C769FF" w:rsidRDefault="008F7449" w:rsidP="00AF5CAD">
      <w:p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Р.Любавський свідомо і системно використовує характерні для технології історії повсякденності поняття і категорії: «стиль життя», «спосіб життя», «практики споживання», «техніки тіла».</w:t>
      </w:r>
    </w:p>
    <w:p w14:paraId="2EF94307" w14:textId="751B961E" w:rsidR="00855CE4" w:rsidRPr="00C769FF" w:rsidRDefault="00855CE4" w:rsidP="00AF5CAD">
      <w:p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Переходячи до виробничої сфери робітничого побуту, Р.Любавський не обмежується даними щодо зростання кількості підприємств і кількості робітників на них, щодо насичення виробництва новою (переважно імпортною) технікою. Він прагне «дослідження реального стану справ». І цей реальний стан відкривається саме завдяки погляду «зсередини» і «знизу». Автор звертає увагу на цехи, завалені виготовленою продукцією та залишками виробничих матеріалів, на надзвичайну скупченість та загромадженість цехів виробничим обладнанням, тісняву, надмірну концентрацію пилу та шкідливих газів, незадовільний стан вентиляції, погане освітлення цехів, нестачу побутових приміщень, і як наслідок – підвищений травматизм.</w:t>
      </w:r>
    </w:p>
    <w:p w14:paraId="2B8D302D" w14:textId="1D5919A4" w:rsidR="00855CE4" w:rsidRPr="00C769FF" w:rsidRDefault="00855CE4" w:rsidP="00AF5CAD">
      <w:p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 xml:space="preserve">Ці факти, власне, були загальновідомими, і інформацію про них можна знайти в «стандартних» документах. Власне, ці факти можна сприймати як «недоліки» (а при бажанні – як «тимчасові недоліки»). Але ось задіюються мікроісторичні сюжети, і стає зрозумілою принципова неможливість «насильного ощасливлення» робітництва і «штурмової» модернізації виробництва. Виявляється, правила виробничої гігієни і безпеки праці свідомо порушувались самими робітниками. Обладнання було налаштоване таким незбагненно алогічним чином, що за певних обставин робітники самі вимикали </w:t>
      </w:r>
      <w:r w:rsidRPr="00C769FF">
        <w:rPr>
          <w:rFonts w:ascii="Times New Roman" w:hAnsi="Times New Roman"/>
          <w:sz w:val="24"/>
          <w:szCs w:val="24"/>
          <w:lang w:val="uk-UA"/>
        </w:rPr>
        <w:lastRenderedPageBreak/>
        <w:t>вентиляційне обладнання, бо воно заважало працювати: ливарники під час плавки металу не чули розпоряджень і вказівок майстра. А в іншій ситуації робітники забивали вентиляційну трубу сміттям, бо вона влаштовувала дикі протяги.</w:t>
      </w:r>
    </w:p>
    <w:p w14:paraId="627E0916" w14:textId="77777777" w:rsidR="00855CE4" w:rsidRPr="00C769FF" w:rsidRDefault="00855CE4" w:rsidP="00AF5CAD">
      <w:p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Показовим є документально встановлений факт презирливого ставлення значної частини робітників і інженерно-технічної інтелігенції до ударників, стахановців та інших «кращих» людей на виробництві – за показуху, змову з начальством, привілеї.</w:t>
      </w:r>
    </w:p>
    <w:p w14:paraId="182F698F" w14:textId="77777777" w:rsidR="00855CE4" w:rsidRPr="00C769FF" w:rsidRDefault="00855CE4" w:rsidP="00AF5CAD">
      <w:p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Низка подібних фактів-вироків засвідчує, що в ході сталінської індустріалізації умови праці на підприємствах суттєво погіршилися, встановився авральний, штурмовий ритм праці.</w:t>
      </w:r>
    </w:p>
    <w:p w14:paraId="258FFB5E" w14:textId="18E82827" w:rsidR="00855CE4" w:rsidRPr="00C769FF" w:rsidRDefault="00855CE4" w:rsidP="00AF5CAD">
      <w:p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Одна справа мати статистичні дані про норми споживання, розмір і наповнення продуктових пайків тощо. І зовсім по-іншому, незмірно показує «реальний стан речей» така «людська» деталь: іноземні спеціалісти, отримуючи продукти у привілейованому магазині системи «Инснаб», відчували на собі такі пекучі погляди харків’ян, що їм здавалося, ніби вони вкрали ці продукти Це при тому, що багато хто з іноземних фахівців були настільки незадоволені умовами праці і побуту, що достроково розривали контракти і поверталися на батьківщину. А влада всілякими засобами прагнула перешкодити їхньому від’їзду – від нескінченних обіцянок покращити умови праці і проживання до відмови повертати паспорти.</w:t>
      </w:r>
    </w:p>
    <w:p w14:paraId="1FAB0E81" w14:textId="77777777" w:rsidR="00855CE4" w:rsidRPr="00C769FF" w:rsidRDefault="00855CE4" w:rsidP="00AF5CAD">
      <w:p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 xml:space="preserve">Аналогічними пояснювальними засобами Р.Любавський демонструє нерозвинутість інфраструктури та комунального господарства Харкова, незадовільний стан міського транспорту, примітивний рівень культурно-освітньої роботи серед робітників. </w:t>
      </w:r>
    </w:p>
    <w:p w14:paraId="00583E0A" w14:textId="2BE2050A" w:rsidR="00855CE4" w:rsidRPr="00C769FF" w:rsidRDefault="00855CE4" w:rsidP="00AF5CAD">
      <w:p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Можна, йдучи звичним шляхом, оперувати «систематизованими» даними і повторити інформацію, акумульовану самими органами влади: культпрацівникам в робітничих клубах бракувало фахової підготовки та належних знань і т. ін. А можна наочніше, «зсередини»: співаки на конкурсах хорових аматорських колективів під час виконання «революційних» пісень використовували техніку церковного співу; «опинившись у радянізованому просторі клубу, вони користувалися звичними для себе практиками, запозиченими зі старого функціонального простору (церкви) та використовували їх у нових контекстах (співання революційних пісень)». Аналогічно діють приклади-свідчення того, що в робітничих клубах панувала нудьга, а також розмови харків’яни про те, що естетика в церкві є вищою, аніж у клубі.</w:t>
      </w:r>
    </w:p>
    <w:p w14:paraId="0E2C0CDD" w14:textId="72686D86" w:rsidR="001913EC" w:rsidRPr="00C769FF" w:rsidRDefault="001913EC" w:rsidP="00AF5CAD">
      <w:p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 xml:space="preserve">С.Єкельчик вводить і статистику. Але це не традиційні дані з галузі виробництва чи народонаселення тощо. Це – «людська» статистика. Статистика емоцій, ідіотизму, парадоксів, різних неймовірних речей. Взяти хоча б лист-поему «Слово Великому Сталіну від українського народу», написаний шістнадцятьма найвизначнішими українськими поетами. Виявляється, цей лист протягом вересня–жовтня 1944 року підписали 9 316 973 громадян України, зокрема 158 272 киян (особисто!). </w:t>
      </w:r>
    </w:p>
    <w:p w14:paraId="4AF63661" w14:textId="2B3E989B" w:rsidR="001913EC" w:rsidRPr="00AF5CAD" w:rsidRDefault="001913EC" w:rsidP="00AF5CAD">
      <w:pPr>
        <w:spacing w:after="0" w:line="240" w:lineRule="auto"/>
        <w:ind w:firstLine="709"/>
        <w:jc w:val="both"/>
        <w:rPr>
          <w:rFonts w:ascii="Times New Roman" w:hAnsi="Times New Roman"/>
          <w:sz w:val="24"/>
          <w:szCs w:val="24"/>
          <w:lang w:val="uk-UA"/>
        </w:rPr>
      </w:pPr>
      <w:r w:rsidRPr="00C769FF">
        <w:rPr>
          <w:rFonts w:ascii="Times New Roman" w:hAnsi="Times New Roman"/>
          <w:sz w:val="24"/>
          <w:szCs w:val="24"/>
          <w:lang w:val="uk-UA"/>
        </w:rPr>
        <w:t>Історик не без іронії повідомляє про кількість портретів кожного з керівників держави, яка «свідчить про офіційну ієрархію правителів, чиє мудре правління мали прославляти робітники»: Першого травня 1949 року кияни несли: 799 портретів Сталіна, 583 портрети першого заступника голови Ради Міністрів СРСР Молотова, 563 портрети Хрущова – колишнього першого секретаря ЦК КП(б)У і патрона республіки в Кремлі, і лише 422 портрети Леніна. Такий собі культ особи в деталях.</w:t>
      </w:r>
    </w:p>
    <w:p w14:paraId="56FEF5E4" w14:textId="77777777" w:rsidR="001913EC" w:rsidRDefault="001913EC" w:rsidP="00AF5CAD">
      <w:pPr>
        <w:spacing w:after="0" w:line="240" w:lineRule="auto"/>
        <w:ind w:firstLine="709"/>
        <w:jc w:val="both"/>
        <w:rPr>
          <w:rFonts w:ascii="Times New Roman" w:hAnsi="Times New Roman"/>
          <w:sz w:val="24"/>
          <w:szCs w:val="24"/>
          <w:lang w:val="uk-UA"/>
        </w:rPr>
      </w:pPr>
    </w:p>
    <w:p w14:paraId="78272965" w14:textId="77777777" w:rsidR="002454AD" w:rsidRPr="00AF5CAD" w:rsidRDefault="002454AD" w:rsidP="00AF5CAD">
      <w:pPr>
        <w:spacing w:after="0" w:line="240" w:lineRule="auto"/>
        <w:jc w:val="both"/>
        <w:rPr>
          <w:rFonts w:ascii="Times New Roman" w:hAnsi="Times New Roman"/>
          <w:sz w:val="24"/>
          <w:szCs w:val="24"/>
          <w:lang w:val="uk-UA"/>
        </w:rPr>
      </w:pPr>
    </w:p>
    <w:sectPr w:rsidR="002454AD" w:rsidRPr="00AF5C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DB39" w14:textId="77777777" w:rsidR="001366E3" w:rsidRDefault="001366E3" w:rsidP="00594AB6">
      <w:pPr>
        <w:spacing w:after="0" w:line="240" w:lineRule="auto"/>
      </w:pPr>
      <w:r>
        <w:separator/>
      </w:r>
    </w:p>
  </w:endnote>
  <w:endnote w:type="continuationSeparator" w:id="0">
    <w:p w14:paraId="0E248354" w14:textId="77777777" w:rsidR="001366E3" w:rsidRDefault="001366E3" w:rsidP="00594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E5E42" w14:textId="77777777" w:rsidR="001366E3" w:rsidRDefault="001366E3" w:rsidP="00594AB6">
      <w:pPr>
        <w:spacing w:after="0" w:line="240" w:lineRule="auto"/>
      </w:pPr>
      <w:r>
        <w:separator/>
      </w:r>
    </w:p>
  </w:footnote>
  <w:footnote w:type="continuationSeparator" w:id="0">
    <w:p w14:paraId="79D9D7C0" w14:textId="77777777" w:rsidR="001366E3" w:rsidRDefault="001366E3" w:rsidP="00594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46D51"/>
    <w:multiLevelType w:val="hybridMultilevel"/>
    <w:tmpl w:val="F94693D0"/>
    <w:lvl w:ilvl="0" w:tplc="19B451B8">
      <w:start w:val="1"/>
      <w:numFmt w:val="bullet"/>
      <w:lvlText w:val="•"/>
      <w:lvlJc w:val="left"/>
      <w:pPr>
        <w:tabs>
          <w:tab w:val="num" w:pos="720"/>
        </w:tabs>
        <w:ind w:left="720" w:hanging="360"/>
      </w:pPr>
      <w:rPr>
        <w:rFonts w:ascii="Arial" w:hAnsi="Arial" w:hint="default"/>
      </w:rPr>
    </w:lvl>
    <w:lvl w:ilvl="1" w:tplc="748805E8" w:tentative="1">
      <w:start w:val="1"/>
      <w:numFmt w:val="bullet"/>
      <w:lvlText w:val="•"/>
      <w:lvlJc w:val="left"/>
      <w:pPr>
        <w:tabs>
          <w:tab w:val="num" w:pos="1440"/>
        </w:tabs>
        <w:ind w:left="1440" w:hanging="360"/>
      </w:pPr>
      <w:rPr>
        <w:rFonts w:ascii="Arial" w:hAnsi="Arial" w:hint="default"/>
      </w:rPr>
    </w:lvl>
    <w:lvl w:ilvl="2" w:tplc="176283CE" w:tentative="1">
      <w:start w:val="1"/>
      <w:numFmt w:val="bullet"/>
      <w:lvlText w:val="•"/>
      <w:lvlJc w:val="left"/>
      <w:pPr>
        <w:tabs>
          <w:tab w:val="num" w:pos="2160"/>
        </w:tabs>
        <w:ind w:left="2160" w:hanging="360"/>
      </w:pPr>
      <w:rPr>
        <w:rFonts w:ascii="Arial" w:hAnsi="Arial" w:hint="default"/>
      </w:rPr>
    </w:lvl>
    <w:lvl w:ilvl="3" w:tplc="151C13DC" w:tentative="1">
      <w:start w:val="1"/>
      <w:numFmt w:val="bullet"/>
      <w:lvlText w:val="•"/>
      <w:lvlJc w:val="left"/>
      <w:pPr>
        <w:tabs>
          <w:tab w:val="num" w:pos="2880"/>
        </w:tabs>
        <w:ind w:left="2880" w:hanging="360"/>
      </w:pPr>
      <w:rPr>
        <w:rFonts w:ascii="Arial" w:hAnsi="Arial" w:hint="default"/>
      </w:rPr>
    </w:lvl>
    <w:lvl w:ilvl="4" w:tplc="51B897A8" w:tentative="1">
      <w:start w:val="1"/>
      <w:numFmt w:val="bullet"/>
      <w:lvlText w:val="•"/>
      <w:lvlJc w:val="left"/>
      <w:pPr>
        <w:tabs>
          <w:tab w:val="num" w:pos="3600"/>
        </w:tabs>
        <w:ind w:left="3600" w:hanging="360"/>
      </w:pPr>
      <w:rPr>
        <w:rFonts w:ascii="Arial" w:hAnsi="Arial" w:hint="default"/>
      </w:rPr>
    </w:lvl>
    <w:lvl w:ilvl="5" w:tplc="B3AA25C0" w:tentative="1">
      <w:start w:val="1"/>
      <w:numFmt w:val="bullet"/>
      <w:lvlText w:val="•"/>
      <w:lvlJc w:val="left"/>
      <w:pPr>
        <w:tabs>
          <w:tab w:val="num" w:pos="4320"/>
        </w:tabs>
        <w:ind w:left="4320" w:hanging="360"/>
      </w:pPr>
      <w:rPr>
        <w:rFonts w:ascii="Arial" w:hAnsi="Arial" w:hint="default"/>
      </w:rPr>
    </w:lvl>
    <w:lvl w:ilvl="6" w:tplc="893681C0" w:tentative="1">
      <w:start w:val="1"/>
      <w:numFmt w:val="bullet"/>
      <w:lvlText w:val="•"/>
      <w:lvlJc w:val="left"/>
      <w:pPr>
        <w:tabs>
          <w:tab w:val="num" w:pos="5040"/>
        </w:tabs>
        <w:ind w:left="5040" w:hanging="360"/>
      </w:pPr>
      <w:rPr>
        <w:rFonts w:ascii="Arial" w:hAnsi="Arial" w:hint="default"/>
      </w:rPr>
    </w:lvl>
    <w:lvl w:ilvl="7" w:tplc="08F63008" w:tentative="1">
      <w:start w:val="1"/>
      <w:numFmt w:val="bullet"/>
      <w:lvlText w:val="•"/>
      <w:lvlJc w:val="left"/>
      <w:pPr>
        <w:tabs>
          <w:tab w:val="num" w:pos="5760"/>
        </w:tabs>
        <w:ind w:left="5760" w:hanging="360"/>
      </w:pPr>
      <w:rPr>
        <w:rFonts w:ascii="Arial" w:hAnsi="Arial" w:hint="default"/>
      </w:rPr>
    </w:lvl>
    <w:lvl w:ilvl="8" w:tplc="F5DED9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AD300C"/>
    <w:multiLevelType w:val="hybridMultilevel"/>
    <w:tmpl w:val="01F0D344"/>
    <w:lvl w:ilvl="0" w:tplc="20000009">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 w15:restartNumberingAfterBreak="0">
    <w:nsid w:val="2E4A11E7"/>
    <w:multiLevelType w:val="hybridMultilevel"/>
    <w:tmpl w:val="D6749D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EB71268"/>
    <w:multiLevelType w:val="hybridMultilevel"/>
    <w:tmpl w:val="8B2ED7A8"/>
    <w:lvl w:ilvl="0" w:tplc="DA9C199A">
      <w:start w:val="1"/>
      <w:numFmt w:val="bullet"/>
      <w:lvlText w:val="•"/>
      <w:lvlJc w:val="left"/>
      <w:pPr>
        <w:tabs>
          <w:tab w:val="num" w:pos="720"/>
        </w:tabs>
        <w:ind w:left="720" w:hanging="360"/>
      </w:pPr>
      <w:rPr>
        <w:rFonts w:ascii="Arial" w:hAnsi="Arial" w:hint="default"/>
      </w:rPr>
    </w:lvl>
    <w:lvl w:ilvl="1" w:tplc="771A9D76" w:tentative="1">
      <w:start w:val="1"/>
      <w:numFmt w:val="bullet"/>
      <w:lvlText w:val="•"/>
      <w:lvlJc w:val="left"/>
      <w:pPr>
        <w:tabs>
          <w:tab w:val="num" w:pos="1440"/>
        </w:tabs>
        <w:ind w:left="1440" w:hanging="360"/>
      </w:pPr>
      <w:rPr>
        <w:rFonts w:ascii="Arial" w:hAnsi="Arial" w:hint="default"/>
      </w:rPr>
    </w:lvl>
    <w:lvl w:ilvl="2" w:tplc="48568234" w:tentative="1">
      <w:start w:val="1"/>
      <w:numFmt w:val="bullet"/>
      <w:lvlText w:val="•"/>
      <w:lvlJc w:val="left"/>
      <w:pPr>
        <w:tabs>
          <w:tab w:val="num" w:pos="2160"/>
        </w:tabs>
        <w:ind w:left="2160" w:hanging="360"/>
      </w:pPr>
      <w:rPr>
        <w:rFonts w:ascii="Arial" w:hAnsi="Arial" w:hint="default"/>
      </w:rPr>
    </w:lvl>
    <w:lvl w:ilvl="3" w:tplc="7996E812" w:tentative="1">
      <w:start w:val="1"/>
      <w:numFmt w:val="bullet"/>
      <w:lvlText w:val="•"/>
      <w:lvlJc w:val="left"/>
      <w:pPr>
        <w:tabs>
          <w:tab w:val="num" w:pos="2880"/>
        </w:tabs>
        <w:ind w:left="2880" w:hanging="360"/>
      </w:pPr>
      <w:rPr>
        <w:rFonts w:ascii="Arial" w:hAnsi="Arial" w:hint="default"/>
      </w:rPr>
    </w:lvl>
    <w:lvl w:ilvl="4" w:tplc="9F54EFCA" w:tentative="1">
      <w:start w:val="1"/>
      <w:numFmt w:val="bullet"/>
      <w:lvlText w:val="•"/>
      <w:lvlJc w:val="left"/>
      <w:pPr>
        <w:tabs>
          <w:tab w:val="num" w:pos="3600"/>
        </w:tabs>
        <w:ind w:left="3600" w:hanging="360"/>
      </w:pPr>
      <w:rPr>
        <w:rFonts w:ascii="Arial" w:hAnsi="Arial" w:hint="default"/>
      </w:rPr>
    </w:lvl>
    <w:lvl w:ilvl="5" w:tplc="B20E7582" w:tentative="1">
      <w:start w:val="1"/>
      <w:numFmt w:val="bullet"/>
      <w:lvlText w:val="•"/>
      <w:lvlJc w:val="left"/>
      <w:pPr>
        <w:tabs>
          <w:tab w:val="num" w:pos="4320"/>
        </w:tabs>
        <w:ind w:left="4320" w:hanging="360"/>
      </w:pPr>
      <w:rPr>
        <w:rFonts w:ascii="Arial" w:hAnsi="Arial" w:hint="default"/>
      </w:rPr>
    </w:lvl>
    <w:lvl w:ilvl="6" w:tplc="75E694A2" w:tentative="1">
      <w:start w:val="1"/>
      <w:numFmt w:val="bullet"/>
      <w:lvlText w:val="•"/>
      <w:lvlJc w:val="left"/>
      <w:pPr>
        <w:tabs>
          <w:tab w:val="num" w:pos="5040"/>
        </w:tabs>
        <w:ind w:left="5040" w:hanging="360"/>
      </w:pPr>
      <w:rPr>
        <w:rFonts w:ascii="Arial" w:hAnsi="Arial" w:hint="default"/>
      </w:rPr>
    </w:lvl>
    <w:lvl w:ilvl="7" w:tplc="7F1E0202" w:tentative="1">
      <w:start w:val="1"/>
      <w:numFmt w:val="bullet"/>
      <w:lvlText w:val="•"/>
      <w:lvlJc w:val="left"/>
      <w:pPr>
        <w:tabs>
          <w:tab w:val="num" w:pos="5760"/>
        </w:tabs>
        <w:ind w:left="5760" w:hanging="360"/>
      </w:pPr>
      <w:rPr>
        <w:rFonts w:ascii="Arial" w:hAnsi="Arial" w:hint="default"/>
      </w:rPr>
    </w:lvl>
    <w:lvl w:ilvl="8" w:tplc="53B2507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B645D14"/>
    <w:multiLevelType w:val="hybridMultilevel"/>
    <w:tmpl w:val="7612F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6749FB"/>
    <w:multiLevelType w:val="hybridMultilevel"/>
    <w:tmpl w:val="C19E506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2F317DE"/>
    <w:multiLevelType w:val="hybridMultilevel"/>
    <w:tmpl w:val="F210FB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7221863"/>
    <w:multiLevelType w:val="hybridMultilevel"/>
    <w:tmpl w:val="8DC2F6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10401037">
    <w:abstractNumId w:val="4"/>
  </w:num>
  <w:num w:numId="2" w16cid:durableId="1995059725">
    <w:abstractNumId w:val="3"/>
  </w:num>
  <w:num w:numId="3" w16cid:durableId="1489397814">
    <w:abstractNumId w:val="0"/>
  </w:num>
  <w:num w:numId="4" w16cid:durableId="463691975">
    <w:abstractNumId w:val="5"/>
  </w:num>
  <w:num w:numId="5" w16cid:durableId="1710448649">
    <w:abstractNumId w:val="7"/>
  </w:num>
  <w:num w:numId="6" w16cid:durableId="1275789492">
    <w:abstractNumId w:val="1"/>
  </w:num>
  <w:num w:numId="7" w16cid:durableId="344289917">
    <w:abstractNumId w:val="6"/>
  </w:num>
  <w:num w:numId="8" w16cid:durableId="1623999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AE"/>
    <w:rsid w:val="00004E07"/>
    <w:rsid w:val="00037160"/>
    <w:rsid w:val="00073ADF"/>
    <w:rsid w:val="0008062B"/>
    <w:rsid w:val="00097BF1"/>
    <w:rsid w:val="000C5A4B"/>
    <w:rsid w:val="00100BF6"/>
    <w:rsid w:val="001366E3"/>
    <w:rsid w:val="001913EC"/>
    <w:rsid w:val="00197127"/>
    <w:rsid w:val="001B5529"/>
    <w:rsid w:val="002108E7"/>
    <w:rsid w:val="002454AD"/>
    <w:rsid w:val="00246470"/>
    <w:rsid w:val="002630A3"/>
    <w:rsid w:val="0029532D"/>
    <w:rsid w:val="002B324A"/>
    <w:rsid w:val="002E4715"/>
    <w:rsid w:val="003403AE"/>
    <w:rsid w:val="003D14CB"/>
    <w:rsid w:val="00417B51"/>
    <w:rsid w:val="00417C17"/>
    <w:rsid w:val="004D6E9B"/>
    <w:rsid w:val="004E3CCF"/>
    <w:rsid w:val="00501EBE"/>
    <w:rsid w:val="005101D9"/>
    <w:rsid w:val="005549A9"/>
    <w:rsid w:val="00554FC7"/>
    <w:rsid w:val="00594AB6"/>
    <w:rsid w:val="005C66A1"/>
    <w:rsid w:val="00652726"/>
    <w:rsid w:val="00653B97"/>
    <w:rsid w:val="006603F7"/>
    <w:rsid w:val="006733A8"/>
    <w:rsid w:val="006829DD"/>
    <w:rsid w:val="006A4CF8"/>
    <w:rsid w:val="006E0880"/>
    <w:rsid w:val="006E14B6"/>
    <w:rsid w:val="0071424B"/>
    <w:rsid w:val="00742282"/>
    <w:rsid w:val="00761B46"/>
    <w:rsid w:val="0078756F"/>
    <w:rsid w:val="007E0F3E"/>
    <w:rsid w:val="00855B02"/>
    <w:rsid w:val="00855CE4"/>
    <w:rsid w:val="008B1D08"/>
    <w:rsid w:val="008C71A0"/>
    <w:rsid w:val="008E4B29"/>
    <w:rsid w:val="008F7449"/>
    <w:rsid w:val="00915B3F"/>
    <w:rsid w:val="00937A31"/>
    <w:rsid w:val="00A01331"/>
    <w:rsid w:val="00A01DF4"/>
    <w:rsid w:val="00AF5CAD"/>
    <w:rsid w:val="00AF72FC"/>
    <w:rsid w:val="00B12FC9"/>
    <w:rsid w:val="00B34059"/>
    <w:rsid w:val="00B6493B"/>
    <w:rsid w:val="00B656EC"/>
    <w:rsid w:val="00B71142"/>
    <w:rsid w:val="00BC1297"/>
    <w:rsid w:val="00BE0322"/>
    <w:rsid w:val="00C769FF"/>
    <w:rsid w:val="00C80BDF"/>
    <w:rsid w:val="00C96B4F"/>
    <w:rsid w:val="00CB5624"/>
    <w:rsid w:val="00CF1051"/>
    <w:rsid w:val="00D93261"/>
    <w:rsid w:val="00DA3E3B"/>
    <w:rsid w:val="00DE3ADE"/>
    <w:rsid w:val="00F74C11"/>
    <w:rsid w:val="00F752D5"/>
    <w:rsid w:val="00FB36F4"/>
    <w:rsid w:val="00FF06D7"/>
    <w:rsid w:val="00FF7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10CA7"/>
  <w15:docId w15:val="{45FBCCCB-64B4-4EE3-B47F-6698A100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32D"/>
    <w:pPr>
      <w:spacing w:after="200" w:line="276" w:lineRule="auto"/>
    </w:pPr>
    <w:rPr>
      <w:sz w:val="22"/>
      <w:szCs w:val="22"/>
    </w:rPr>
  </w:style>
  <w:style w:type="paragraph" w:styleId="1">
    <w:name w:val="heading 1"/>
    <w:basedOn w:val="a"/>
    <w:next w:val="a"/>
    <w:link w:val="10"/>
    <w:qFormat/>
    <w:rsid w:val="0029532D"/>
    <w:pPr>
      <w:keepNext/>
      <w:spacing w:after="0" w:line="240" w:lineRule="auto"/>
      <w:jc w:val="both"/>
      <w:outlineLvl w:val="0"/>
    </w:pPr>
    <w:rPr>
      <w:rFonts w:ascii="Times New Roman" w:eastAsia="Arial Unicode MS" w:hAnsi="Times New Roman"/>
      <w:b/>
      <w:bCs/>
      <w:sz w:val="20"/>
      <w:szCs w:val="24"/>
      <w:lang w:val="uk-UA"/>
    </w:rPr>
  </w:style>
  <w:style w:type="paragraph" w:styleId="2">
    <w:name w:val="heading 2"/>
    <w:basedOn w:val="a"/>
    <w:link w:val="20"/>
    <w:uiPriority w:val="9"/>
    <w:qFormat/>
    <w:rsid w:val="0029532D"/>
    <w:pPr>
      <w:spacing w:before="100" w:beforeAutospacing="1" w:after="100" w:afterAutospacing="1" w:line="240" w:lineRule="auto"/>
      <w:outlineLvl w:val="1"/>
    </w:pPr>
    <w:rPr>
      <w:rFonts w:ascii="Times New Roman" w:eastAsia="Times New Roman" w:hAnsi="Times New Roman"/>
      <w:b/>
      <w:bCs/>
      <w:sz w:val="36"/>
      <w:szCs w:val="36"/>
    </w:rPr>
  </w:style>
  <w:style w:type="paragraph" w:styleId="3">
    <w:name w:val="heading 3"/>
    <w:basedOn w:val="a"/>
    <w:next w:val="a"/>
    <w:link w:val="30"/>
    <w:uiPriority w:val="9"/>
    <w:semiHidden/>
    <w:unhideWhenUsed/>
    <w:qFormat/>
    <w:rsid w:val="00B656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1B552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29532D"/>
    <w:rPr>
      <w:rFonts w:ascii="Times New Roman" w:eastAsia="Times New Roman" w:hAnsi="Times New Roman"/>
      <w:b/>
      <w:bCs/>
      <w:sz w:val="36"/>
      <w:szCs w:val="36"/>
    </w:rPr>
  </w:style>
  <w:style w:type="character" w:styleId="a3">
    <w:name w:val="Strong"/>
    <w:uiPriority w:val="22"/>
    <w:qFormat/>
    <w:rsid w:val="0029532D"/>
    <w:rPr>
      <w:b/>
      <w:bCs/>
    </w:rPr>
  </w:style>
  <w:style w:type="character" w:styleId="a4">
    <w:name w:val="Emphasis"/>
    <w:uiPriority w:val="20"/>
    <w:qFormat/>
    <w:rsid w:val="0029532D"/>
    <w:rPr>
      <w:i/>
      <w:iCs/>
    </w:rPr>
  </w:style>
  <w:style w:type="character" w:customStyle="1" w:styleId="10">
    <w:name w:val="Заголовок 1 Знак"/>
    <w:link w:val="1"/>
    <w:rsid w:val="0029532D"/>
    <w:rPr>
      <w:rFonts w:ascii="Times New Roman" w:eastAsia="Arial Unicode MS" w:hAnsi="Times New Roman"/>
      <w:b/>
      <w:bCs/>
      <w:szCs w:val="24"/>
      <w:lang w:val="uk-UA"/>
    </w:rPr>
  </w:style>
  <w:style w:type="paragraph" w:styleId="a5">
    <w:name w:val="List Paragraph"/>
    <w:basedOn w:val="a"/>
    <w:uiPriority w:val="99"/>
    <w:qFormat/>
    <w:rsid w:val="003403AE"/>
    <w:pPr>
      <w:ind w:left="720"/>
      <w:contextualSpacing/>
    </w:pPr>
  </w:style>
  <w:style w:type="character" w:styleId="a6">
    <w:name w:val="Hyperlink"/>
    <w:basedOn w:val="a0"/>
    <w:uiPriority w:val="99"/>
    <w:unhideWhenUsed/>
    <w:qFormat/>
    <w:rsid w:val="008B1D08"/>
    <w:rPr>
      <w:color w:val="0000FF"/>
      <w:u w:val="single"/>
    </w:rPr>
  </w:style>
  <w:style w:type="character" w:styleId="a7">
    <w:name w:val="FollowedHyperlink"/>
    <w:basedOn w:val="a0"/>
    <w:uiPriority w:val="99"/>
    <w:semiHidden/>
    <w:unhideWhenUsed/>
    <w:rsid w:val="00CF1051"/>
    <w:rPr>
      <w:color w:val="800080" w:themeColor="followedHyperlink"/>
      <w:u w:val="single"/>
    </w:rPr>
  </w:style>
  <w:style w:type="table" w:styleId="a8">
    <w:name w:val="Table Grid"/>
    <w:basedOn w:val="a1"/>
    <w:uiPriority w:val="59"/>
    <w:rsid w:val="00BC1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1B5529"/>
    <w:rPr>
      <w:rFonts w:asciiTheme="majorHAnsi" w:eastAsiaTheme="majorEastAsia" w:hAnsiTheme="majorHAnsi" w:cstheme="majorBidi"/>
      <w:color w:val="365F91" w:themeColor="accent1" w:themeShade="BF"/>
      <w:sz w:val="22"/>
      <w:szCs w:val="22"/>
    </w:rPr>
  </w:style>
  <w:style w:type="character" w:customStyle="1" w:styleId="30">
    <w:name w:val="Заголовок 3 Знак"/>
    <w:basedOn w:val="a0"/>
    <w:link w:val="3"/>
    <w:uiPriority w:val="9"/>
    <w:semiHidden/>
    <w:rsid w:val="00B656EC"/>
    <w:rPr>
      <w:rFonts w:asciiTheme="majorHAnsi" w:eastAsiaTheme="majorEastAsia" w:hAnsiTheme="majorHAnsi" w:cstheme="majorBidi"/>
      <w:color w:val="243F60" w:themeColor="accent1" w:themeShade="7F"/>
      <w:sz w:val="24"/>
      <w:szCs w:val="24"/>
    </w:rPr>
  </w:style>
  <w:style w:type="paragraph" w:styleId="a9">
    <w:name w:val="footnote text"/>
    <w:basedOn w:val="a"/>
    <w:link w:val="aa"/>
    <w:uiPriority w:val="99"/>
    <w:unhideWhenUsed/>
    <w:rsid w:val="00037160"/>
    <w:rPr>
      <w:sz w:val="20"/>
      <w:szCs w:val="20"/>
    </w:rPr>
  </w:style>
  <w:style w:type="character" w:customStyle="1" w:styleId="aa">
    <w:name w:val="Текст сноски Знак"/>
    <w:basedOn w:val="a0"/>
    <w:link w:val="a9"/>
    <w:uiPriority w:val="99"/>
    <w:rsid w:val="00037160"/>
  </w:style>
  <w:style w:type="character" w:styleId="ab">
    <w:name w:val="footnote reference"/>
    <w:basedOn w:val="a0"/>
    <w:uiPriority w:val="99"/>
    <w:semiHidden/>
    <w:rsid w:val="00594AB6"/>
    <w:rPr>
      <w:vertAlign w:val="superscript"/>
    </w:rPr>
  </w:style>
  <w:style w:type="paragraph" w:styleId="ac">
    <w:name w:val="Body Text Indent"/>
    <w:basedOn w:val="a"/>
    <w:link w:val="ad"/>
    <w:uiPriority w:val="99"/>
    <w:unhideWhenUsed/>
    <w:rsid w:val="00AF5CAD"/>
    <w:pPr>
      <w:suppressAutoHyphens/>
      <w:spacing w:after="120" w:line="240" w:lineRule="auto"/>
      <w:ind w:left="283"/>
    </w:pPr>
    <w:rPr>
      <w:rFonts w:ascii="Times New Roman" w:eastAsia="MS Mincho" w:hAnsi="Times New Roman"/>
      <w:sz w:val="24"/>
      <w:szCs w:val="24"/>
      <w:lang w:val="en-US" w:eastAsia="zh-CN"/>
    </w:rPr>
  </w:style>
  <w:style w:type="character" w:customStyle="1" w:styleId="ad">
    <w:name w:val="Основной текст с отступом Знак"/>
    <w:basedOn w:val="a0"/>
    <w:link w:val="ac"/>
    <w:uiPriority w:val="99"/>
    <w:rsid w:val="00AF5CAD"/>
    <w:rPr>
      <w:rFonts w:ascii="Times New Roman" w:eastAsia="MS Mincho"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vid.org.ua/index.php/psp/article/view/676" TargetMode="External"/><Relationship Id="rId3" Type="http://schemas.openxmlformats.org/officeDocument/2006/relationships/settings" Target="settings.xml"/><Relationship Id="rId7" Type="http://schemas.openxmlformats.org/officeDocument/2006/relationships/hyperlink" Target="http://files.znu.edu.ua/files/Bibliobooks/Inshi73/005420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books.google.de/books?id=g14uija4vtgC&amp;printsec=frontcover&amp;hl=ru" TargetMode="External"/><Relationship Id="rId4" Type="http://schemas.openxmlformats.org/officeDocument/2006/relationships/webSettings" Target="webSettings.xml"/><Relationship Id="rId9" Type="http://schemas.openxmlformats.org/officeDocument/2006/relationships/hyperlink" Target="https://shron1.chtyvo.org.ua/Dysa_Kateryna/Istoriia_povsiakdennoho_zhyttia_v_rannomodernii_Yevropi.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1440</Words>
  <Characters>8213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PC</cp:lastModifiedBy>
  <cp:revision>3</cp:revision>
  <dcterms:created xsi:type="dcterms:W3CDTF">2025-11-26T08:53:00Z</dcterms:created>
  <dcterms:modified xsi:type="dcterms:W3CDTF">2025-11-26T08:57:00Z</dcterms:modified>
</cp:coreProperties>
</file>