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AE0D2" w14:textId="77777777" w:rsidR="001C6FBE" w:rsidRPr="001C6FBE" w:rsidRDefault="001C6FBE" w:rsidP="001C6FBE">
      <w:pPr>
        <w:spacing w:after="150"/>
        <w:outlineLvl w:val="1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</w:pPr>
      <w:bookmarkStart w:id="0" w:name="_GoBack"/>
      <w:bookmarkEnd w:id="0"/>
      <w:r w:rsidRPr="001C6FBE"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ru-RU"/>
          <w14:ligatures w14:val="none"/>
        </w:rPr>
        <w:t>Семінар 8. Міграційна криза 2022 р. : нові реалії</w:t>
      </w:r>
    </w:p>
    <w:p w14:paraId="39AFE202" w14:textId="77777777" w:rsidR="001C6FBE" w:rsidRPr="001C6FBE" w:rsidRDefault="001C6FBE" w:rsidP="001C6FBE">
      <w:pPr>
        <w:shd w:val="clear" w:color="auto" w:fill="F8F9FA"/>
        <w:spacing w:after="0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Умови завершення</w:t>
      </w:r>
    </w:p>
    <w:p w14:paraId="2B7E3B2C" w14:textId="77777777" w:rsidR="001C6FBE" w:rsidRPr="001C6FBE" w:rsidRDefault="001C6FBE" w:rsidP="001C6FBE">
      <w:pPr>
        <w:spacing w:after="150"/>
        <w:outlineLvl w:val="1"/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</w:pPr>
      <w:r w:rsidRPr="001C6FBE">
        <w:rPr>
          <w:rFonts w:ascii="Roboto" w:eastAsia="Times New Roman" w:hAnsi="Roboto" w:cs="Open Sans"/>
          <w:color w:val="333333"/>
          <w:kern w:val="0"/>
          <w:sz w:val="36"/>
          <w:szCs w:val="36"/>
          <w:lang w:eastAsia="ru-RU"/>
          <w14:ligatures w14:val="none"/>
        </w:rPr>
        <w:t>Етап налаштування</w:t>
      </w:r>
    </w:p>
    <w:p w14:paraId="24B0D5A9" w14:textId="77777777" w:rsidR="001C6FBE" w:rsidRPr="001C6FBE" w:rsidRDefault="001C6FBE" w:rsidP="001C6FBE">
      <w:pPr>
        <w:spacing w:after="0"/>
        <w:rPr>
          <w:rFonts w:ascii="Open Sans" w:eastAsia="Times New Roman" w:hAnsi="Open Sans" w:cs="Open Sans"/>
          <w:color w:val="000000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Графік скмінару з 5 етапами</w:t>
      </w:r>
      <w:hyperlink r:id="rId5" w:anchor="mod_workshop-userplancurrenttasks" w:history="1">
        <w:r w:rsidRPr="001C6FBE">
          <w:rPr>
            <w:rFonts w:ascii="Open Sans" w:eastAsia="Times New Roman" w:hAnsi="Open Sans" w:cs="Open Sans"/>
            <w:color w:val="51666C"/>
            <w:kern w:val="0"/>
            <w:sz w:val="19"/>
            <w:szCs w:val="19"/>
            <w:u w:val="single"/>
            <w:bdr w:val="none" w:sz="0" w:space="0" w:color="auto" w:frame="1"/>
            <w:lang w:eastAsia="ru-RU"/>
            <w14:ligatures w14:val="none"/>
          </w:rPr>
          <w:t>Пропустити до поточних задач</w:t>
        </w:r>
      </w:hyperlink>
    </w:p>
    <w:p w14:paraId="2F018398" w14:textId="77777777" w:rsidR="001C6FBE" w:rsidRPr="001C6FBE" w:rsidRDefault="001C6FBE" w:rsidP="001C6FBE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212529"/>
          <w:kern w:val="0"/>
          <w:sz w:val="27"/>
          <w:szCs w:val="27"/>
          <w:lang w:eastAsia="ru-RU"/>
          <w14:ligatures w14:val="none"/>
        </w:rPr>
        <w:t>Етап налаштування</w:t>
      </w:r>
    </w:p>
    <w:p w14:paraId="682237D5" w14:textId="77777777" w:rsidR="001C6FBE" w:rsidRPr="001C6FBE" w:rsidRDefault="001C6FBE" w:rsidP="001C6FBE">
      <w:pPr>
        <w:pBdr>
          <w:left w:val="single" w:sz="6" w:space="2" w:color="CED4DA"/>
          <w:right w:val="single" w:sz="6" w:space="2" w:color="CED4DA"/>
        </w:pBdr>
        <w:shd w:val="clear" w:color="auto" w:fill="E7F1C3"/>
        <w:spacing w:after="0"/>
        <w:textAlignment w:val="top"/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212529"/>
          <w:kern w:val="0"/>
          <w:sz w:val="15"/>
          <w:szCs w:val="15"/>
          <w:lang w:eastAsia="ru-RU"/>
          <w14:ligatures w14:val="none"/>
        </w:rPr>
        <w:t>Поточний етап </w:t>
      </w:r>
    </w:p>
    <w:p w14:paraId="03C4C983" w14:textId="77777777" w:rsidR="001C6FBE" w:rsidRPr="001C6FBE" w:rsidRDefault="001C6FBE" w:rsidP="001C6FBE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hyperlink r:id="rId6" w:history="1">
        <w:r w:rsidRPr="001C6FBE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Задати вступ до семінару</w:t>
        </w:r>
      </w:hyperlink>
    </w:p>
    <w:p w14:paraId="2F7365FB" w14:textId="77777777" w:rsidR="001C6FBE" w:rsidRPr="001C6FBE" w:rsidRDefault="001C6FBE" w:rsidP="001C6FBE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Не вдалося виконати завдання</w:t>
      </w:r>
      <w:hyperlink r:id="rId7" w:history="1">
        <w:r w:rsidRPr="001C6FBE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роботі</w:t>
        </w:r>
      </w:hyperlink>
    </w:p>
    <w:p w14:paraId="791C1B48" w14:textId="77777777" w:rsidR="001C6FBE" w:rsidRPr="001C6FBE" w:rsidRDefault="001C6FBE" w:rsidP="001C6FBE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8" w:history="1">
        <w:r w:rsidRPr="001C6FBE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Редагувати форму оцінювання</w:t>
        </w:r>
      </w:hyperlink>
    </w:p>
    <w:p w14:paraId="464F95D6" w14:textId="77777777" w:rsidR="001C6FBE" w:rsidRPr="001C6FBE" w:rsidRDefault="001C6FBE" w:rsidP="001C6FBE">
      <w:pPr>
        <w:numPr>
          <w:ilvl w:val="0"/>
          <w:numId w:val="1"/>
        </w:numPr>
        <w:pBdr>
          <w:left w:val="single" w:sz="6" w:space="4" w:color="DDDDDD"/>
          <w:right w:val="single" w:sz="6" w:space="4" w:color="DDDDDD"/>
        </w:pBdr>
        <w:shd w:val="clear" w:color="auto" w:fill="E7F1C3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212529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212529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9" w:history="1">
        <w:r w:rsidRPr="001C6FBE">
          <w:rPr>
            <w:rFonts w:ascii="Open Sans" w:eastAsia="Times New Roman" w:hAnsi="Open Sans" w:cs="Open Sans"/>
            <w:color w:val="212529"/>
            <w:kern w:val="0"/>
            <w:sz w:val="19"/>
            <w:szCs w:val="19"/>
            <w:u w:val="single"/>
            <w:lang w:eastAsia="ru-RU"/>
            <w14:ligatures w14:val="none"/>
          </w:rPr>
          <w:t>Перейдіть до наступного етапу</w:t>
        </w:r>
      </w:hyperlink>
    </w:p>
    <w:p w14:paraId="7634162B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здачі робіт</w:t>
      </w:r>
    </w:p>
    <w:p w14:paraId="4743713F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0" w:history="1">
        <w:r w:rsidRPr="001C6FBE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фази подання</w:t>
        </w:r>
      </w:hyperlink>
    </w:p>
    <w:p w14:paraId="015C6105" w14:textId="77777777" w:rsidR="001C6FBE" w:rsidRPr="001C6FBE" w:rsidRDefault="001C6FBE" w:rsidP="001C6FBE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1" w:history="1">
        <w:r w:rsidRPr="001C6FBE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Надати інструкції по оцінюванню</w:t>
        </w:r>
      </w:hyperlink>
    </w:p>
    <w:p w14:paraId="5002BC35" w14:textId="77777777" w:rsidR="001C6FBE" w:rsidRPr="001C6FBE" w:rsidRDefault="001C6FBE" w:rsidP="001C6FBE">
      <w:pPr>
        <w:numPr>
          <w:ilvl w:val="0"/>
          <w:numId w:val="2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2" w:history="1">
        <w:r w:rsidRPr="001C6FBE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Розподілення робіт</w:t>
        </w:r>
      </w:hyperlink>
    </w:p>
    <w:p w14:paraId="13FB0A5C" w14:textId="77777777" w:rsidR="001C6FBE" w:rsidRPr="001C6FBE" w:rsidRDefault="001C6FBE" w:rsidP="001C6FBE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надано: 0</w:t>
      </w: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до розміщення: 0</w:t>
      </w:r>
    </w:p>
    <w:p w14:paraId="20C926D8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</w:t>
      </w:r>
    </w:p>
    <w:p w14:paraId="5FE3E184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3" w:history="1">
        <w:r w:rsidRPr="001C6FBE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на етап оцінювання</w:t>
        </w:r>
      </w:hyperlink>
    </w:p>
    <w:p w14:paraId="444F75DF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Етап оцінювання оцінок</w:t>
      </w:r>
    </w:p>
    <w:p w14:paraId="3769BB96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4" w:history="1">
        <w:r w:rsidRPr="001C6FBE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Перейдіть до етапу оцінки</w:t>
        </w:r>
      </w:hyperlink>
    </w:p>
    <w:p w14:paraId="6E4E3F95" w14:textId="77777777" w:rsidR="001C6FBE" w:rsidRPr="001C6FBE" w:rsidRDefault="001C6FBE" w:rsidP="001C6FBE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оцінки за роботи</w:t>
      </w:r>
    </w:p>
    <w:p w14:paraId="4AEA2C04" w14:textId="77777777" w:rsidR="001C6FBE" w:rsidRPr="001C6FBE" w:rsidRDefault="001C6FBE" w:rsidP="001C6FBE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14A77D15" w14:textId="77777777" w:rsidR="001C6FBE" w:rsidRPr="001C6FBE" w:rsidRDefault="001C6FBE" w:rsidP="001C6FBE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виконано</w:t>
      </w: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  <w:t>Вирахувати бали за оцінювання</w:t>
      </w:r>
    </w:p>
    <w:p w14:paraId="78764A1E" w14:textId="77777777" w:rsidR="001C6FBE" w:rsidRPr="001C6FBE" w:rsidRDefault="001C6FBE" w:rsidP="001C6FBE">
      <w:p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t>очікується: 0</w:t>
      </w:r>
      <w:r w:rsidRPr="001C6FBE">
        <w:rPr>
          <w:rFonts w:ascii="Open Sans" w:eastAsia="Times New Roman" w:hAnsi="Open Sans" w:cs="Open Sans"/>
          <w:color w:val="495057"/>
          <w:kern w:val="0"/>
          <w:sz w:val="15"/>
          <w:szCs w:val="15"/>
          <w:lang w:eastAsia="ru-RU"/>
          <w14:ligatures w14:val="none"/>
        </w:rPr>
        <w:br/>
        <w:t>вирахувано: 0</w:t>
      </w:r>
    </w:p>
    <w:p w14:paraId="6D0669A4" w14:textId="77777777" w:rsidR="001C6FBE" w:rsidRPr="001C6FBE" w:rsidRDefault="001C6FBE" w:rsidP="001C6FBE">
      <w:pPr>
        <w:numPr>
          <w:ilvl w:val="0"/>
          <w:numId w:val="3"/>
        </w:numPr>
        <w:pBdr>
          <w:right w:val="single" w:sz="6" w:space="4" w:color="CED4DA"/>
        </w:pBdr>
        <w:shd w:val="clear" w:color="auto" w:fill="F5F5F5"/>
        <w:spacing w:after="0" w:line="420" w:lineRule="atLeast"/>
        <w:ind w:left="1440"/>
        <w:textAlignment w:val="top"/>
        <w:rPr>
          <w:rFonts w:ascii="Open Sans" w:eastAsia="Times New Roman" w:hAnsi="Open Sans" w:cs="Open Sans"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495057"/>
          <w:kern w:val="0"/>
          <w:sz w:val="19"/>
          <w:szCs w:val="19"/>
          <w:bdr w:val="none" w:sz="0" w:space="0" w:color="auto" w:frame="1"/>
          <w:lang w:eastAsia="ru-RU"/>
          <w14:ligatures w14:val="none"/>
        </w:rPr>
        <w:t>Завдання виконати</w:t>
      </w:r>
      <w:hyperlink r:id="rId15" w:history="1">
        <w:r w:rsidRPr="001C6FBE">
          <w:rPr>
            <w:rFonts w:ascii="Open Sans" w:eastAsia="Times New Roman" w:hAnsi="Open Sans" w:cs="Open Sans"/>
            <w:color w:val="495057"/>
            <w:kern w:val="0"/>
            <w:sz w:val="19"/>
            <w:szCs w:val="19"/>
            <w:u w:val="single"/>
            <w:lang w:eastAsia="ru-RU"/>
            <w14:ligatures w14:val="none"/>
          </w:rPr>
          <w:t>Написати висновок для семінару</w:t>
        </w:r>
      </w:hyperlink>
    </w:p>
    <w:p w14:paraId="2A0FA573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spacing w:after="0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495057"/>
          <w:kern w:val="0"/>
          <w:sz w:val="19"/>
          <w:szCs w:val="19"/>
          <w:lang w:eastAsia="ru-RU"/>
          <w14:ligatures w14:val="none"/>
        </w:rPr>
        <w:t>Закрито</w:t>
      </w:r>
    </w:p>
    <w:p w14:paraId="354B03C5" w14:textId="77777777" w:rsidR="001C6FBE" w:rsidRPr="001C6FBE" w:rsidRDefault="001C6FBE" w:rsidP="001C6FBE">
      <w:pPr>
        <w:pBdr>
          <w:bottom w:val="single" w:sz="6" w:space="2" w:color="CED4DA"/>
        </w:pBdr>
        <w:shd w:val="clear" w:color="auto" w:fill="F5F5F5"/>
        <w:textAlignment w:val="bottom"/>
        <w:rPr>
          <w:rFonts w:ascii="Open Sans" w:eastAsia="Times New Roman" w:hAnsi="Open Sans" w:cs="Open Sans"/>
          <w:b/>
          <w:bCs/>
          <w:color w:val="495057"/>
          <w:kern w:val="0"/>
          <w:sz w:val="15"/>
          <w:szCs w:val="15"/>
          <w:lang w:eastAsia="ru-RU"/>
          <w14:ligatures w14:val="none"/>
        </w:rPr>
      </w:pPr>
      <w:hyperlink r:id="rId16" w:history="1">
        <w:r w:rsidRPr="001C6FBE">
          <w:rPr>
            <w:rFonts w:ascii="Open Sans" w:eastAsia="Times New Roman" w:hAnsi="Open Sans" w:cs="Open Sans"/>
            <w:b/>
            <w:bCs/>
            <w:color w:val="51666C"/>
            <w:kern w:val="0"/>
            <w:sz w:val="15"/>
            <w:szCs w:val="15"/>
            <w:u w:val="single"/>
            <w:lang w:eastAsia="ru-RU"/>
            <w14:ligatures w14:val="none"/>
          </w:rPr>
          <w:t>Закрити майстерню</w:t>
        </w:r>
      </w:hyperlink>
    </w:p>
    <w:p w14:paraId="19DC71FD" w14:textId="77777777" w:rsidR="001C6FBE" w:rsidRPr="001C6FBE" w:rsidRDefault="001C6FBE" w:rsidP="001C6FBE">
      <w:pPr>
        <w:spacing w:after="0"/>
        <w:rPr>
          <w:rFonts w:ascii="Open Sans" w:eastAsia="Times New Roman" w:hAnsi="Open Sans" w:cs="Open Sans"/>
          <w:b/>
          <w:bCs/>
          <w:color w:val="000000"/>
          <w:kern w:val="0"/>
          <w:sz w:val="29"/>
          <w:szCs w:val="29"/>
          <w:u w:val="single"/>
          <w:lang w:eastAsia="ru-RU"/>
          <w14:ligatures w14:val="none"/>
        </w:rPr>
      </w:pPr>
      <w:hyperlink r:id="rId17" w:tooltip="Натисніть, щоб розгорнути або згорнути" w:history="1">
        <w:r w:rsidRPr="001C6FBE">
          <w:rPr>
            <w:rFonts w:ascii="Open Sans" w:eastAsia="Times New Roman" w:hAnsi="Open Sans" w:cs="Open Sans"/>
            <w:b/>
            <w:bCs/>
            <w:color w:val="51666C"/>
            <w:kern w:val="0"/>
            <w:sz w:val="29"/>
            <w:szCs w:val="29"/>
            <w:u w:val="single"/>
            <w:lang w:eastAsia="ru-RU"/>
            <w14:ligatures w14:val="none"/>
          </w:rPr>
          <w:t>Опис </w:t>
        </w:r>
        <w:r w:rsidRPr="001C6FBE">
          <w:rPr>
            <w:rFonts w:ascii="Open Sans" w:eastAsia="Times New Roman" w:hAnsi="Open Sans" w:cs="Open Sans"/>
            <w:b/>
            <w:bCs/>
            <w:noProof/>
            <w:color w:val="51666C"/>
            <w:kern w:val="0"/>
            <w:sz w:val="29"/>
            <w:szCs w:val="29"/>
            <w:lang w:eastAsia="ru-RU"/>
            <w14:ligatures w14:val="none"/>
          </w:rPr>
          <mc:AlternateContent>
            <mc:Choice Requires="wps">
              <w:drawing>
                <wp:inline distT="0" distB="0" distL="0" distR="0" wp14:anchorId="41BC8AEE" wp14:editId="792AA64C">
                  <wp:extent cx="304800" cy="304800"/>
                  <wp:effectExtent l="0" t="0" r="0" b="0"/>
                  <wp:docPr id="1661826819" name="AutoShape 3">
                    <a:hlinkClick xmlns:a="http://schemas.openxmlformats.org/drawingml/2006/main" r:id="rId17" tooltip="&quot;Натисніть, щоб розгорнути або згорну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98C2DAC" id="AutoShape 3" o:spid="_x0000_s1026" href="https://moodle.znu.edu.ua/mod/workshop/view.php?id=512460" title="&quot;Натисніть, щоб розгорнути або згор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390DAD16" w14:textId="77777777" w:rsidR="001C6FBE" w:rsidRPr="001C6FBE" w:rsidRDefault="001C6FBE" w:rsidP="001C6FBE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Семінар 6. Міграційна криза 2021 р. : нові реалії.</w:t>
      </w:r>
    </w:p>
    <w:p w14:paraId="5CB5E4FB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</w:t>
      </w:r>
    </w:p>
    <w:p w14:paraId="491E4FAB" w14:textId="77777777" w:rsidR="001C6FBE" w:rsidRPr="001C6FBE" w:rsidRDefault="001C6FBE" w:rsidP="001C6FBE">
      <w:pPr>
        <w:spacing w:after="100" w:afterAutospacing="1"/>
        <w:jc w:val="center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u w:val="single"/>
          <w:lang w:val="uk-UA" w:eastAsia="ru-RU"/>
          <w14:ligatures w14:val="none"/>
        </w:rPr>
        <w:t>Питання до обговорення:</w:t>
      </w:r>
    </w:p>
    <w:p w14:paraId="2AE32ED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t>1.    </w:t>
      </w: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Міграційна політика Польщі у 10-20-ті роки XXI ст.</w:t>
      </w:r>
    </w:p>
    <w:p w14:paraId="688887CE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2.    </w:t>
      </w: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Штучна міграційна криза, спровокована Республікою Білорусь на кордоні з Польщею, Латвією і Литвою.</w:t>
      </w:r>
    </w:p>
    <w:p w14:paraId="58CECF4A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t>3.    </w:t>
      </w: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Відношення світової спільноти і країн – членів ЄС до цих подій. Вплив кризи на політичну безпеку країн ЄС.</w:t>
      </w:r>
    </w:p>
    <w:p w14:paraId="10F3217A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t>4.    </w:t>
      </w: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Можливий вплив кризи на Україну.</w:t>
      </w:r>
    </w:p>
    <w:p w14:paraId="5A5805C2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DE1C568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95F102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Література:</w:t>
      </w:r>
    </w:p>
    <w:p w14:paraId="2EFAAAD0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1.              Казанова Х. Релігія в сучасному світі: плюралізм, секуляризація, глобалізація / переклад з англ. Романа Скакуна. Львів: Видавництво Українського католицького університету 2019. 348 с.</w:t>
      </w:r>
    </w:p>
    <w:p w14:paraId="6177CBD2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2.              Концепт «Європа» : Навчальний посібник / Ващенко А. В., Гаврилов В. М., Дятлов В. О., Казимір В. А., Кеда М. К., Коваленко О. О., Соломенна Т. В. Чернігів : Десна Поліграф, 2018. 296 с.</w:t>
      </w:r>
    </w:p>
    <w:p w14:paraId="4BD3247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3.              Кортукова Т. О. Правове регулювання спільної імміграційної політики Європейського Союзу  дис. ... доктора філософії у галузі права : Київ, 2021. 228 с.</w:t>
      </w:r>
    </w:p>
    <w:p w14:paraId="7E2A8F4A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4.              Сучасні суспільно-політичні процеси у світі та Україні: монографія / авт. колектив: Т. Л. Нагорняк, М. В. Примуш, М. А. Польовий, та ін. Вінниця : ТОВ «ТВОРИ», 2019. 228 с.</w:t>
      </w:r>
    </w:p>
    <w:p w14:paraId="41C81493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5.              Безрук О. Процеси мобільності у контексті актуальних проблем світової політики. Evropský politický a právní diskurz. 2018. Sv. 5. Vyd. 4. С. 136–141.</w:t>
      </w:r>
    </w:p>
    <w:p w14:paraId="33CA2DA2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6.              Безушко М., Панченко С. Міграційні процеси в країнах ЄС. Європейська міграційна криза. V Юридичні могилянські читання: пошук рішень з актуальних проблем сучасної правової науки. Миколаїв : Вид-во ЧНУ ім. Петра Могили, 2019. С. 88–91.</w:t>
      </w:r>
    </w:p>
    <w:p w14:paraId="7B1AE44E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8.              Волошенюк О. В. Переваги і недоліки політики мультикультуралізму. Forum Prava. 2019. Вип. 56(3). С. 6–12.</w:t>
      </w:r>
    </w:p>
    <w:p w14:paraId="51B57C98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9.              Гребіник Я. Політична реакція країн ЄС на міграційну кризу. Теорія та методика навчання суспільних дисциплін : науково-педагогічний журнал. 2018. № 1 (6). С. 139–142.</w:t>
      </w:r>
    </w:p>
    <w:p w14:paraId="6C0486AF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11.          Зворотний бік Європейської міграційної кризи. URL: http://yur-gazeta.com/publications/practice/inshe/zvorotniy-bik-evropeyskoyi-migraciynoyi-krizi.html</w:t>
      </w:r>
    </w:p>
    <w:p w14:paraId="04AFD6B2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12.          Івасечко О.Я., Здоровега М.В. Криза політики мультикультуралізму в Європі: причини та наслідки. Вісник Маріупольського державного університету. Серія: Історія. Політологія. 2017. Вип. 19. С. 141–150.</w:t>
      </w:r>
    </w:p>
    <w:p w14:paraId="68CC2C8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13.          Кольцов В. Міграційна криза як передумова і вияв євроскептицизму та наднаціональної опозиційності до ЄС у країнах Вишеградської групи. Вісник НТУУ «КПІ». Політологія. Соціологія. Право. 2017. № 3/4. С. 18–23.</w:t>
      </w:r>
    </w:p>
    <w:p w14:paraId="7BD503EB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14.          Ліба С. Міграційна політика ЄС: актуалізація проблеми в умовах сучасних викликів.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131–136.</w:t>
      </w:r>
    </w:p>
    <w:p w14:paraId="3604362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15.          Малиновська О.А. Міграційна політика Європейського Союзу: виклики та уроки для України. URL: http://www.niss.gov.ua/content/articles/files/migr_pol-68f1d.pdf</w:t>
      </w:r>
    </w:p>
    <w:p w14:paraId="5A9E194F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16.          Марусик Ю. Стіни як засіб обмеження міграції та політичний інструмент.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59–64.</w:t>
      </w:r>
    </w:p>
    <w:p w14:paraId="7E3DCCCE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17.          Міграційна криза в Європі: пошуки шляхів розв’язання та наслідки для України. URL: http://www.niss.gov.ua/ articles/2266/136</w:t>
      </w:r>
    </w:p>
    <w:p w14:paraId="23E6E443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18.          Недюха М. П., Жарков В. О. Мультикультуралізм як соціальне та політико-правове явище. Вчені записки ТНУ імені В. І. Вернадського. Серія: Юридичні науки. 2017. Т. 28(67). № 1. С. 6–12.</w:t>
      </w:r>
    </w:p>
    <w:p w14:paraId="6BCFA7B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19.          Нелегальна міграція: Реалії ЄС у галузі трудових відносин. URL: http://www.europeans.org.ua/ migracia.html</w:t>
      </w:r>
    </w:p>
    <w:p w14:paraId="18612AD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20.          Осипенкова О. Криза біженців в ЄС як фактор деструктивного впливу на політику мультикультуралізму. Грані. 2020. Т. 23 (11). С. 34–40.</w:t>
      </w:r>
    </w:p>
    <w:p w14:paraId="62B51F3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21.          Пашков В., Правдін В. Аналіз міграційних процесів в ЄС та теорія мультикультиралізму: сучасний стан та перспективи. Аспекти публічного управління. 2019. Том 7. № 12. С. 114–124.</w:t>
      </w:r>
    </w:p>
    <w:p w14:paraId="597A97A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22.          Пашков В. О., Правдін В. І. Причини та наслідки сучасної міграційної кризи в ЄС. Науковий вісник Дніпропетровського державного університету внутрішніх справ. 2020. № 1. С. 38-46.</w:t>
      </w:r>
    </w:p>
    <w:p w14:paraId="4F17ECDB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23.          Пачос Ю. В. Сучасні міграційні процеси в Україні. </w:t>
      </w:r>
      <w:hyperlink r:id="rId18" w:tooltip="Сучасні суспільно-політичні процеси" w:history="1">
        <w:r w:rsidRPr="001C6FBE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21–38.</w:t>
      </w:r>
    </w:p>
    <w:p w14:paraId="63E66094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24.          Польовий М. А. Тенденції динаміки потоків міжнародної міграції в першій чверті XXI ст. </w:t>
      </w:r>
      <w:hyperlink r:id="rId19" w:tooltip="Сучасні суспільно-політичні процеси" w:history="1">
        <w:r w:rsidRPr="001C6FBE">
          <w:rPr>
            <w:rFonts w:ascii="Open Sans" w:eastAsia="Times New Roman" w:hAnsi="Open Sans" w:cs="Open Sans"/>
            <w:color w:val="51666C"/>
            <w:kern w:val="0"/>
            <w:sz w:val="24"/>
            <w:szCs w:val="24"/>
            <w:u w:val="single"/>
            <w:lang w:val="uk-UA" w:eastAsia="ru-RU"/>
            <w14:ligatures w14:val="none"/>
          </w:rPr>
          <w:t>Сучасні суспільно-політичні процеси</w:t>
        </w:r>
      </w:hyperlink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 у світі та Україні: монографія / колектив: Т. Л. Нагорняк, М. В. Примуш, М. А. Польовий, та ін. Вінниця : ТОВ «ТВОРИ», 2019. С. 7–20.</w:t>
      </w:r>
    </w:p>
    <w:p w14:paraId="1813F17F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25.          П’ятковська О. Економічна інтеграція біженців та шукачів притулку в країнах ЄС: нові підходи в умовах міграційної кризи. Актуальні проблеми міжнародних відносин та зовнішньої політики. Матеріали ІV Всеукраїнської науково-практичної конференції (Львів, 23 березня 2017 р.). Львів : НУ ЛП, 2017. С. 160–164.</w:t>
      </w:r>
    </w:p>
    <w:p w14:paraId="502465E9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26.          Рігерт Б., Міщенко О., Марченко О. Міграційна політика ЄС: основні невирішені питання. URL: http://www.dw.com/uk/міграційна-політика-єс-основні-невирішені-питання/a-18677044</w:t>
      </w:r>
    </w:p>
    <w:p w14:paraId="1F666E25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27.          Сікорська І. М. Мультикультуралізм та його вплив на освіту. Вісник НТУУ «КПІ». Політологія. Соціологія. Право. 2019. Вип. 3 (43). С. 133–138.</w:t>
      </w:r>
    </w:p>
    <w:p w14:paraId="379C3465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28.          Узун Ю. В. Управління міграційними процесами: глобальні та регіональні тенденції. Науковий журнал «Політикус». 2019. Вип. 2. С. 56-65.</w:t>
      </w:r>
    </w:p>
    <w:p w14:paraId="7E92CDF2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29.          Хомутенко Л. І., Єременко О. О. Мультикультуралізм як похідне явище трудової міграції в Європейському Союзі. Вісник СумДУ. Серія «Економіка». 2019. № 1. С. 71–76.</w:t>
      </w:r>
    </w:p>
    <w:p w14:paraId="60F3B32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30.          Шай Р. Теоретико-правові проблеми мультикультуралізму як традиційної моделі адаптації. Юридичні науки. 2018. № 889 [32]. С. 55–59.</w:t>
      </w:r>
    </w:p>
    <w:p w14:paraId="002CAAED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31.          Шевель І. П. Проблемні аспекти мультикультурних конфліктів в сучасному українському суспільстві. Актуальні проблеми соціології, психології, педагогіки. Соціологічні науки. 2017 №1 (32). С. 167–170.</w:t>
      </w:r>
    </w:p>
    <w:p w14:paraId="4CA5EBB6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32.          Чеботаєва О. М. Актуальні проблеми європейського мультикультуралізму. Наукові праці. Політологія. 2018. Т. 309. С. 78–82.</w:t>
      </w:r>
    </w:p>
    <w:p w14:paraId="1450860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33.          Юрійчук О. О. Криза національної самобутності у контексті правового мультикультуралізму. Міжнародний науковий журнал «Інтернаука». Серія: «Юридичні науки». 2018. 8. URL: https://doi.org/10.25313/2520-2308-2018-8-4262</w:t>
      </w:r>
    </w:p>
    <w:p w14:paraId="703190E7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34.          Як почалася європейська міграційна криза і як її закінчити. URL: https://news.finance.ua/ua/news/-/359078/yak-pochalasya-yevropejska-migratsijna-kryza-i-yak-yiyi-zakinchyty</w:t>
      </w:r>
    </w:p>
    <w:p w14:paraId="3890E521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lastRenderedPageBreak/>
        <w:t>35.          Gardocka T., Kowalski P. Reasons and Consequences of Migration for Contemporary Europe. Journal of Modern Science. 2017. No. 1. P. 135–144.</w:t>
      </w:r>
    </w:p>
    <w:p w14:paraId="29B2FC87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36.          Euro-Med Migration. URL: https://www.euneighbours.eu/en/south/stay-informed/projects/euro-med-migration-ii</w:t>
      </w:r>
    </w:p>
    <w:p w14:paraId="528EA334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37.          Progress report on the Implementation of the European Agenda on Migration. Communication from the Commission to the European Parliament, the European Council and the Council. Brussels. 14.03.2018. COM(2018) 250</w:t>
      </w: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softHyphen/>
        <w:t>final. 22</w:t>
      </w: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en-US" w:eastAsia="ru-RU"/>
          <w14:ligatures w14:val="none"/>
        </w:rPr>
        <w:t> </w:t>
      </w: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val="uk-UA" w:eastAsia="ru-RU"/>
          <w14:ligatures w14:val="none"/>
        </w:rPr>
        <w:t>р.</w:t>
      </w:r>
    </w:p>
    <w:p w14:paraId="4517EBC4" w14:textId="77777777" w:rsidR="001C6FBE" w:rsidRPr="001C6FBE" w:rsidRDefault="001C6FBE" w:rsidP="001C6FBE">
      <w:pPr>
        <w:spacing w:after="100" w:afterAutospacing="1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</w:pPr>
      <w:r w:rsidRPr="001C6FBE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409087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85345"/>
    <w:multiLevelType w:val="multilevel"/>
    <w:tmpl w:val="A38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F7423"/>
    <w:multiLevelType w:val="multilevel"/>
    <w:tmpl w:val="79E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807EF"/>
    <w:multiLevelType w:val="multilevel"/>
    <w:tmpl w:val="F87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357069">
    <w:abstractNumId w:val="2"/>
  </w:num>
  <w:num w:numId="2" w16cid:durableId="2050570394">
    <w:abstractNumId w:val="1"/>
  </w:num>
  <w:num w:numId="3" w16cid:durableId="156093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4D"/>
    <w:rsid w:val="00180B14"/>
    <w:rsid w:val="001C6FBE"/>
    <w:rsid w:val="006C0B77"/>
    <w:rsid w:val="008242FF"/>
    <w:rsid w:val="00870751"/>
    <w:rsid w:val="00922C48"/>
    <w:rsid w:val="0094034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D154"/>
  <w15:chartTrackingRefBased/>
  <w15:docId w15:val="{315E8458-6753-499C-BCA9-99C3D4C5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4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34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937">
          <w:marLeft w:val="0"/>
          <w:marRight w:val="0"/>
          <w:marTop w:val="240"/>
          <w:marBottom w:val="24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974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6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187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workshop/editform.php?cmid=512460" TargetMode="External"/><Relationship Id="rId13" Type="http://schemas.openxmlformats.org/officeDocument/2006/relationships/hyperlink" Target="https://moodle.znu.edu.ua/mod/workshop/switchphase.php?cmid=512460&amp;phase=30" TargetMode="External"/><Relationship Id="rId18" Type="http://schemas.openxmlformats.org/officeDocument/2006/relationships/hyperlink" Target="https://moodle.znu.edu.ua/mod/resource/view.php?id=44346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odle.znu.edu.ua/course/modedit.php?update=512460&amp;return=1" TargetMode="External"/><Relationship Id="rId12" Type="http://schemas.openxmlformats.org/officeDocument/2006/relationships/hyperlink" Target="https://moodle.znu.edu.ua/mod/workshop/allocation.php?cmid=512460" TargetMode="External"/><Relationship Id="rId17" Type="http://schemas.openxmlformats.org/officeDocument/2006/relationships/hyperlink" Target="https://moodle.znu.edu.ua/mod/workshop/view.php?id=5124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mod/workshop/switchphase.php?cmid=512460&amp;phase=5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modedit.php?update=512460&amp;return=1" TargetMode="External"/><Relationship Id="rId11" Type="http://schemas.openxmlformats.org/officeDocument/2006/relationships/hyperlink" Target="https://moodle.znu.edu.ua/course/modedit.php?update=512460&amp;return=1" TargetMode="External"/><Relationship Id="rId5" Type="http://schemas.openxmlformats.org/officeDocument/2006/relationships/hyperlink" Target="https://moodle.znu.edu.ua/mod/workshop/view.php?id=512460" TargetMode="External"/><Relationship Id="rId15" Type="http://schemas.openxmlformats.org/officeDocument/2006/relationships/hyperlink" Target="https://moodle.znu.edu.ua/course/modedit.php?update=512460&amp;return=1" TargetMode="External"/><Relationship Id="rId10" Type="http://schemas.openxmlformats.org/officeDocument/2006/relationships/hyperlink" Target="https://moodle.znu.edu.ua/mod/workshop/switchphase.php?cmid=512460&amp;phase=20" TargetMode="External"/><Relationship Id="rId19" Type="http://schemas.openxmlformats.org/officeDocument/2006/relationships/hyperlink" Target="https://moodle.znu.edu.ua/mod/resource/view.php?id=4434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mod/workshop/switchphase.php?cmid=512460&amp;phase=20" TargetMode="External"/><Relationship Id="rId14" Type="http://schemas.openxmlformats.org/officeDocument/2006/relationships/hyperlink" Target="https://moodle.znu.edu.ua/mod/workshop/switchphase.php?cmid=512460&amp;phase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2025-12-12T09:45:00Z</dcterms:created>
  <dcterms:modified xsi:type="dcterms:W3CDTF">2025-12-12T09:46:00Z</dcterms:modified>
</cp:coreProperties>
</file>